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7" w:rsidRPr="005B3F9B" w:rsidRDefault="00321F0D" w:rsidP="00321F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3F9B">
        <w:rPr>
          <w:b/>
          <w:sz w:val="24"/>
          <w:szCs w:val="24"/>
        </w:rPr>
        <w:t>Reajuste de la cuota para visitantes a la Estación Biológica Cocha Cashu</w:t>
      </w:r>
    </w:p>
    <w:p w:rsidR="005B3F9B" w:rsidRDefault="005B3F9B" w:rsidP="007C3250">
      <w:pPr>
        <w:jc w:val="both"/>
      </w:pPr>
    </w:p>
    <w:p w:rsidR="002D4027" w:rsidRDefault="00321F0D" w:rsidP="007C3250">
      <w:pPr>
        <w:jc w:val="both"/>
      </w:pPr>
      <w:r>
        <w:t xml:space="preserve">A partir de Mayo del 2018 estamos incrementando la cuota para los usuarios y visitantes de la Estación Biológica Cocha </w:t>
      </w:r>
      <w:proofErr w:type="spellStart"/>
      <w:r>
        <w:t>Cashu</w:t>
      </w:r>
      <w:proofErr w:type="spellEnd"/>
      <w:r w:rsidR="00633299">
        <w:t xml:space="preserve"> (ver abajo)</w:t>
      </w:r>
      <w:r>
        <w:t>.</w:t>
      </w:r>
    </w:p>
    <w:p w:rsidR="00E84964" w:rsidRDefault="00321F0D" w:rsidP="007C3250">
      <w:pPr>
        <w:jc w:val="both"/>
      </w:pPr>
      <w:r>
        <w:t>La experiencia de gestión de los últimos siete años nos ha enseñado que una estación de las características</w:t>
      </w:r>
      <w:r w:rsidR="00E84964">
        <w:t xml:space="preserve"> de Cocha Cashu no puede operar exclusivamente con el aporte de sus visitantes; es necesario contar con recursos adicionales. El pago de los visitantes cubre solamente entre el 2</w:t>
      </w:r>
      <w:r w:rsidR="007C3250">
        <w:t>0-25</w:t>
      </w:r>
      <w:r w:rsidR="00E84964">
        <w:t xml:space="preserve"> por ciento del costo de operación de la estación.  Por ello, dicho pago se denomina “cuota” de usuario o visitante y no “tarifa” para resaltar el espíritu </w:t>
      </w:r>
      <w:r w:rsidR="007C3250">
        <w:t xml:space="preserve">cooperativo </w:t>
      </w:r>
      <w:r w:rsidR="00305BD9">
        <w:t>en la gestión de la</w:t>
      </w:r>
      <w:r w:rsidR="007C3250">
        <w:t xml:space="preserve"> estación</w:t>
      </w:r>
      <w:r w:rsidR="00B65814">
        <w:t>.</w:t>
      </w:r>
    </w:p>
    <w:p w:rsidR="00321F0D" w:rsidRDefault="00E84964" w:rsidP="007C3250">
      <w:pPr>
        <w:jc w:val="both"/>
      </w:pPr>
      <w:r>
        <w:t xml:space="preserve">San Diego Zoo Global está comprometido para apoyar el esfuerzo de SERNANP por mantener Cocha Cashu como un sitio estelar de inspiración y generación de conocimientos. </w:t>
      </w:r>
      <w:r w:rsidR="00305BD9">
        <w:t>Así, seguiremos con nuestro propósito de que la cuota para usuarios siga siendo la más baja posible. En este afán, q</w:t>
      </w:r>
      <w:r w:rsidR="007C3250">
        <w:t xml:space="preserve">ueremos agradecer a los donantes que nos han acompañado en </w:t>
      </w:r>
      <w:r w:rsidR="00305BD9">
        <w:t xml:space="preserve">estos años </w:t>
      </w:r>
      <w:r w:rsidR="007C3250">
        <w:t>p</w:t>
      </w:r>
      <w:r w:rsidR="00305BD9">
        <w:t>ara</w:t>
      </w:r>
      <w:r w:rsidR="007C3250">
        <w:t xml:space="preserve"> hacer de Cocha Cashu un lugar muy especial en </w:t>
      </w:r>
      <w:r w:rsidR="00305BD9">
        <w:t>nuestros corazones</w:t>
      </w:r>
      <w:r w:rsidR="007C3250">
        <w:t>.</w:t>
      </w:r>
    </w:p>
    <w:p w:rsidR="00521365" w:rsidRDefault="00521365" w:rsidP="007C3250">
      <w:pPr>
        <w:jc w:val="both"/>
      </w:pPr>
    </w:p>
    <w:p w:rsidR="00521365" w:rsidRPr="005B3F9B" w:rsidRDefault="005B3F9B" w:rsidP="005B3F9B">
      <w:pPr>
        <w:jc w:val="center"/>
        <w:rPr>
          <w:b/>
          <w:sz w:val="24"/>
          <w:szCs w:val="24"/>
          <w:lang w:val="en-US"/>
        </w:rPr>
      </w:pPr>
      <w:r w:rsidRPr="005B3F9B">
        <w:rPr>
          <w:b/>
          <w:sz w:val="24"/>
          <w:szCs w:val="24"/>
          <w:lang w:val="en-US"/>
        </w:rPr>
        <w:t>Ad</w:t>
      </w:r>
      <w:r w:rsidR="00C62507">
        <w:rPr>
          <w:b/>
          <w:sz w:val="24"/>
          <w:szCs w:val="24"/>
          <w:lang w:val="en-US"/>
        </w:rPr>
        <w:t>justment of user contributions</w:t>
      </w:r>
      <w:r w:rsidR="00D6330E">
        <w:rPr>
          <w:b/>
          <w:sz w:val="24"/>
          <w:szCs w:val="24"/>
          <w:lang w:val="en-US"/>
        </w:rPr>
        <w:t xml:space="preserve"> for</w:t>
      </w:r>
      <w:r w:rsidRPr="005B3F9B">
        <w:rPr>
          <w:b/>
          <w:sz w:val="24"/>
          <w:szCs w:val="24"/>
          <w:lang w:val="en-US"/>
        </w:rPr>
        <w:t xml:space="preserve"> the </w:t>
      </w:r>
      <w:proofErr w:type="spellStart"/>
      <w:r w:rsidRPr="005B3F9B">
        <w:rPr>
          <w:b/>
          <w:sz w:val="24"/>
          <w:szCs w:val="24"/>
          <w:lang w:val="en-US"/>
        </w:rPr>
        <w:t>Cocha</w:t>
      </w:r>
      <w:proofErr w:type="spellEnd"/>
      <w:r w:rsidRPr="005B3F9B">
        <w:rPr>
          <w:b/>
          <w:sz w:val="24"/>
          <w:szCs w:val="24"/>
          <w:lang w:val="en-US"/>
        </w:rPr>
        <w:t xml:space="preserve"> </w:t>
      </w:r>
      <w:proofErr w:type="spellStart"/>
      <w:r w:rsidRPr="005B3F9B">
        <w:rPr>
          <w:b/>
          <w:sz w:val="24"/>
          <w:szCs w:val="24"/>
          <w:lang w:val="en-US"/>
        </w:rPr>
        <w:t>Cashu</w:t>
      </w:r>
      <w:proofErr w:type="spellEnd"/>
      <w:r w:rsidRPr="005B3F9B">
        <w:rPr>
          <w:b/>
          <w:sz w:val="24"/>
          <w:szCs w:val="24"/>
          <w:lang w:val="en-US"/>
        </w:rPr>
        <w:t xml:space="preserve"> Biological Station</w:t>
      </w:r>
    </w:p>
    <w:p w:rsidR="005B3F9B" w:rsidRDefault="005B3F9B" w:rsidP="00521365">
      <w:pPr>
        <w:jc w:val="both"/>
        <w:rPr>
          <w:lang w:val="en-US"/>
        </w:rPr>
      </w:pPr>
    </w:p>
    <w:p w:rsidR="00521365" w:rsidRPr="00521365" w:rsidRDefault="00521365" w:rsidP="00521365">
      <w:pPr>
        <w:jc w:val="both"/>
        <w:rPr>
          <w:lang w:val="en-US"/>
        </w:rPr>
      </w:pPr>
      <w:r w:rsidRPr="00521365">
        <w:rPr>
          <w:lang w:val="en-US"/>
        </w:rPr>
        <w:t xml:space="preserve">As of May </w:t>
      </w:r>
      <w:r w:rsidR="00C62507">
        <w:rPr>
          <w:lang w:val="en-US"/>
        </w:rPr>
        <w:t>2018 we are increasing the user and visitor contributions</w:t>
      </w:r>
      <w:r w:rsidR="00D6330E">
        <w:rPr>
          <w:lang w:val="en-US"/>
        </w:rPr>
        <w:t xml:space="preserve"> for</w:t>
      </w:r>
      <w:r w:rsidRPr="00521365">
        <w:rPr>
          <w:lang w:val="en-US"/>
        </w:rPr>
        <w:t xml:space="preserve"> the </w:t>
      </w:r>
      <w:proofErr w:type="spellStart"/>
      <w:r w:rsidRPr="00521365">
        <w:rPr>
          <w:lang w:val="en-US"/>
        </w:rPr>
        <w:t>Cocha</w:t>
      </w:r>
      <w:proofErr w:type="spellEnd"/>
      <w:r w:rsidRPr="00521365">
        <w:rPr>
          <w:lang w:val="en-US"/>
        </w:rPr>
        <w:t xml:space="preserve"> </w:t>
      </w:r>
      <w:proofErr w:type="spellStart"/>
      <w:r w:rsidRPr="00521365">
        <w:rPr>
          <w:lang w:val="en-US"/>
        </w:rPr>
        <w:t>Cashu</w:t>
      </w:r>
      <w:proofErr w:type="spellEnd"/>
      <w:r w:rsidRPr="00521365">
        <w:rPr>
          <w:lang w:val="en-US"/>
        </w:rPr>
        <w:t xml:space="preserve"> Biological Station</w:t>
      </w:r>
      <w:r w:rsidR="00633299">
        <w:rPr>
          <w:lang w:val="en-US"/>
        </w:rPr>
        <w:t xml:space="preserve"> (see below)</w:t>
      </w:r>
      <w:r w:rsidRPr="00521365">
        <w:rPr>
          <w:lang w:val="en-US"/>
        </w:rPr>
        <w:t>.</w:t>
      </w:r>
    </w:p>
    <w:p w:rsidR="00521365" w:rsidRPr="00521365" w:rsidRDefault="00C62507" w:rsidP="00521365">
      <w:pPr>
        <w:jc w:val="both"/>
        <w:rPr>
          <w:lang w:val="en-US"/>
        </w:rPr>
      </w:pPr>
      <w:r>
        <w:rPr>
          <w:lang w:val="en-US"/>
        </w:rPr>
        <w:t>The management experience over the last seven years has shown</w:t>
      </w:r>
      <w:r w:rsidR="00521365" w:rsidRPr="00521365">
        <w:rPr>
          <w:lang w:val="en-US"/>
        </w:rPr>
        <w:t xml:space="preserve"> us that a station of the characteristics of Cocha Cashu cannot operate exclusively with the contribution</w:t>
      </w:r>
      <w:r>
        <w:rPr>
          <w:lang w:val="en-US"/>
        </w:rPr>
        <w:t>s</w:t>
      </w:r>
      <w:r w:rsidR="00521365" w:rsidRPr="00521365">
        <w:rPr>
          <w:lang w:val="en-US"/>
        </w:rPr>
        <w:t xml:space="preserve"> of its visitors; it is necessary to </w:t>
      </w:r>
      <w:r>
        <w:rPr>
          <w:lang w:val="en-US"/>
        </w:rPr>
        <w:t>count on additional income</w:t>
      </w:r>
      <w:r w:rsidR="00521365" w:rsidRPr="00521365">
        <w:rPr>
          <w:lang w:val="en-US"/>
        </w:rPr>
        <w:t>. Visitor payment covers only between 20-25 percent of th</w:t>
      </w:r>
      <w:r>
        <w:rPr>
          <w:lang w:val="en-US"/>
        </w:rPr>
        <w:t>e station's operating costs. T</w:t>
      </w:r>
      <w:r w:rsidR="00521365" w:rsidRPr="00521365">
        <w:rPr>
          <w:lang w:val="en-US"/>
        </w:rPr>
        <w:t>his payment is</w:t>
      </w:r>
      <w:r>
        <w:rPr>
          <w:lang w:val="en-US"/>
        </w:rPr>
        <w:t xml:space="preserve"> therefore</w:t>
      </w:r>
      <w:r w:rsidR="00521365" w:rsidRPr="00521365">
        <w:rPr>
          <w:lang w:val="en-US"/>
        </w:rPr>
        <w:t xml:space="preserve"> called</w:t>
      </w:r>
      <w:r>
        <w:rPr>
          <w:lang w:val="en-US"/>
        </w:rPr>
        <w:t xml:space="preserve"> a</w:t>
      </w:r>
      <w:r w:rsidR="00521365" w:rsidRPr="00521365">
        <w:rPr>
          <w:lang w:val="en-US"/>
        </w:rPr>
        <w:t xml:space="preserve"> </w:t>
      </w:r>
      <w:r w:rsidR="00652813">
        <w:rPr>
          <w:lang w:val="en-US"/>
        </w:rPr>
        <w:t>user "contribution</w:t>
      </w:r>
      <w:r w:rsidR="00521365">
        <w:rPr>
          <w:lang w:val="en-US"/>
        </w:rPr>
        <w:t xml:space="preserve">", </w:t>
      </w:r>
      <w:r w:rsidR="00521365" w:rsidRPr="00521365">
        <w:rPr>
          <w:lang w:val="en-US"/>
        </w:rPr>
        <w:t xml:space="preserve">not </w:t>
      </w:r>
      <w:r w:rsidR="00521365">
        <w:rPr>
          <w:lang w:val="en-US"/>
        </w:rPr>
        <w:t xml:space="preserve">a </w:t>
      </w:r>
      <w:r w:rsidR="00521365" w:rsidRPr="00521365">
        <w:rPr>
          <w:lang w:val="en-US"/>
        </w:rPr>
        <w:t>"rate</w:t>
      </w:r>
      <w:r w:rsidR="00521365">
        <w:rPr>
          <w:lang w:val="en-US"/>
        </w:rPr>
        <w:t xml:space="preserve"> or fee</w:t>
      </w:r>
      <w:r w:rsidR="00521365" w:rsidRPr="00521365">
        <w:rPr>
          <w:lang w:val="en-US"/>
        </w:rPr>
        <w:t xml:space="preserve">" to highlight the cooperative spirit </w:t>
      </w:r>
      <w:r>
        <w:rPr>
          <w:lang w:val="en-US"/>
        </w:rPr>
        <w:t>in Station management</w:t>
      </w:r>
      <w:r w:rsidR="00521365">
        <w:rPr>
          <w:lang w:val="en-US"/>
        </w:rPr>
        <w:t>.</w:t>
      </w:r>
    </w:p>
    <w:p w:rsidR="00521365" w:rsidRPr="00521365" w:rsidRDefault="00521365" w:rsidP="00521365">
      <w:pPr>
        <w:jc w:val="both"/>
        <w:rPr>
          <w:lang w:val="en-US"/>
        </w:rPr>
      </w:pPr>
      <w:r w:rsidRPr="00521365">
        <w:rPr>
          <w:lang w:val="en-US"/>
        </w:rPr>
        <w:t>San Diego Zoo Global is committed to supporting SERNANP's effort</w:t>
      </w:r>
      <w:r w:rsidR="00C62507">
        <w:rPr>
          <w:lang w:val="en-US"/>
        </w:rPr>
        <w:t>s to maintain</w:t>
      </w:r>
      <w:r w:rsidRPr="00521365">
        <w:rPr>
          <w:lang w:val="en-US"/>
        </w:rPr>
        <w:t xml:space="preserve"> </w:t>
      </w:r>
      <w:r w:rsidR="00C62507">
        <w:rPr>
          <w:lang w:val="en-US"/>
        </w:rPr>
        <w:t>Cocha Cashu as a stellar site for</w:t>
      </w:r>
      <w:r w:rsidRPr="00521365">
        <w:rPr>
          <w:lang w:val="en-US"/>
        </w:rPr>
        <w:t xml:space="preserve"> inspiration and knowledge generation. Thus, we will continue with our </w:t>
      </w:r>
      <w:r w:rsidR="00C62507">
        <w:rPr>
          <w:lang w:val="en-US"/>
        </w:rPr>
        <w:t>aim to keep user contributions as low as possible</w:t>
      </w:r>
      <w:r w:rsidRPr="00521365">
        <w:rPr>
          <w:lang w:val="en-US"/>
        </w:rPr>
        <w:t xml:space="preserve">. </w:t>
      </w:r>
      <w:r w:rsidR="00C62507">
        <w:rPr>
          <w:lang w:val="en-US"/>
        </w:rPr>
        <w:t>Towards this end, we would like</w:t>
      </w:r>
      <w:r w:rsidRPr="00521365">
        <w:rPr>
          <w:lang w:val="en-US"/>
        </w:rPr>
        <w:t xml:space="preserve"> to thank the d</w:t>
      </w:r>
      <w:r w:rsidR="00C62507">
        <w:rPr>
          <w:lang w:val="en-US"/>
        </w:rPr>
        <w:t>onors who have accompanied us during</w:t>
      </w:r>
      <w:r w:rsidRPr="00521365">
        <w:rPr>
          <w:lang w:val="en-US"/>
        </w:rPr>
        <w:t xml:space="preserve"> these years to make Cocha Cashu a very special place in our hearts.</w:t>
      </w:r>
    </w:p>
    <w:p w:rsidR="00521365" w:rsidRPr="00521365" w:rsidRDefault="00521365" w:rsidP="007C3250">
      <w:pPr>
        <w:jc w:val="both"/>
        <w:rPr>
          <w:lang w:val="en-US"/>
        </w:rPr>
      </w:pPr>
    </w:p>
    <w:p w:rsidR="002D4027" w:rsidRPr="00521365" w:rsidRDefault="002D4027">
      <w:pPr>
        <w:rPr>
          <w:lang w:val="en-US"/>
        </w:rPr>
      </w:pPr>
      <w:r w:rsidRPr="00521365">
        <w:rPr>
          <w:lang w:val="en-US"/>
        </w:rPr>
        <w:br w:type="page"/>
      </w:r>
    </w:p>
    <w:p w:rsidR="00305FD2" w:rsidRDefault="002D4027">
      <w:r>
        <w:lastRenderedPageBreak/>
        <w:t>Cuotas para visitantes desde mayo 2018</w:t>
      </w:r>
      <w:r w:rsidR="005B3F9B">
        <w:t xml:space="preserve"> </w:t>
      </w:r>
    </w:p>
    <w:tbl>
      <w:tblPr>
        <w:tblStyle w:val="ListTable3Accent1"/>
        <w:tblW w:w="7308" w:type="dxa"/>
        <w:tblLook w:val="04A0" w:firstRow="1" w:lastRow="0" w:firstColumn="1" w:lastColumn="0" w:noHBand="0" w:noVBand="1"/>
      </w:tblPr>
      <w:tblGrid>
        <w:gridCol w:w="3539"/>
        <w:gridCol w:w="259"/>
        <w:gridCol w:w="3510"/>
      </w:tblGrid>
      <w:tr w:rsidR="00305FD2" w:rsidTr="005B3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:rsidR="00305FD2" w:rsidRDefault="00305FD2"/>
        </w:tc>
        <w:tc>
          <w:tcPr>
            <w:tcW w:w="3769" w:type="dxa"/>
            <w:gridSpan w:val="2"/>
          </w:tcPr>
          <w:p w:rsidR="00305FD2" w:rsidRPr="002D4027" w:rsidRDefault="00305FD2" w:rsidP="005B3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027">
              <w:rPr>
                <w:sz w:val="24"/>
                <w:szCs w:val="24"/>
              </w:rPr>
              <w:t>x día</w:t>
            </w:r>
            <w:r w:rsidR="005B3F9B">
              <w:rPr>
                <w:sz w:val="24"/>
                <w:szCs w:val="24"/>
              </w:rPr>
              <w:t xml:space="preserve"> (</w:t>
            </w:r>
            <w:r w:rsidRPr="002D4027">
              <w:rPr>
                <w:sz w:val="24"/>
                <w:szCs w:val="24"/>
              </w:rPr>
              <w:t>US$</w:t>
            </w:r>
            <w:r w:rsidR="005B3F9B">
              <w:rPr>
                <w:sz w:val="24"/>
                <w:szCs w:val="24"/>
              </w:rPr>
              <w:t>)</w:t>
            </w:r>
          </w:p>
        </w:tc>
      </w:tr>
      <w:tr w:rsidR="00305FD2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305FD2" w:rsidRDefault="005B3F9B">
            <w:r>
              <w:t>Cuota b</w:t>
            </w:r>
            <w:r w:rsidR="00305FD2">
              <w:t>ase</w:t>
            </w:r>
          </w:p>
        </w:tc>
        <w:tc>
          <w:tcPr>
            <w:tcW w:w="3510" w:type="dxa"/>
          </w:tcPr>
          <w:p w:rsidR="00305FD2" w:rsidRDefault="00305FD2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305FD2" w:rsidRDefault="00305FD2" w:rsidP="005B3F9B">
            <w:r>
              <w:t>Estadía por más de 25 días</w:t>
            </w:r>
            <w:r w:rsidR="005B3F9B">
              <w:t xml:space="preserve"> </w:t>
            </w:r>
          </w:p>
        </w:tc>
        <w:tc>
          <w:tcPr>
            <w:tcW w:w="3510" w:type="dxa"/>
          </w:tcPr>
          <w:p w:rsidR="00305FD2" w:rsidRDefault="00305FD2" w:rsidP="002D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>
            <w:r>
              <w:t>Grupos estudiantes pre-/posgrado</w:t>
            </w:r>
          </w:p>
        </w:tc>
        <w:tc>
          <w:tcPr>
            <w:tcW w:w="3510" w:type="dxa"/>
          </w:tcPr>
          <w:p w:rsidR="005B3F9B" w:rsidRDefault="005B3F9B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305FD2" w:rsidRDefault="00305FD2">
            <w:r>
              <w:t>Investigadores peruanos</w:t>
            </w:r>
          </w:p>
        </w:tc>
        <w:tc>
          <w:tcPr>
            <w:tcW w:w="3510" w:type="dxa"/>
          </w:tcPr>
          <w:p w:rsidR="00305FD2" w:rsidRDefault="00305FD2" w:rsidP="002D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305FD2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305FD2" w:rsidRDefault="00305FD2">
            <w:r>
              <w:t>Estudiantes peruanos</w:t>
            </w:r>
            <w:r w:rsidR="005B3F9B">
              <w:t xml:space="preserve"> de pregrado</w:t>
            </w:r>
          </w:p>
        </w:tc>
        <w:tc>
          <w:tcPr>
            <w:tcW w:w="3510" w:type="dxa"/>
          </w:tcPr>
          <w:p w:rsidR="00305FD2" w:rsidRDefault="00305FD2" w:rsidP="002D4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</w:tbl>
    <w:p w:rsidR="002D4027" w:rsidRDefault="002D4027"/>
    <w:p w:rsidR="005B3F9B" w:rsidRDefault="005B3F9B"/>
    <w:p w:rsidR="005B3F9B" w:rsidRPr="005B3F9B" w:rsidRDefault="00652813">
      <w:pPr>
        <w:rPr>
          <w:lang w:val="en-US"/>
        </w:rPr>
      </w:pPr>
      <w:r>
        <w:rPr>
          <w:lang w:val="en-US"/>
        </w:rPr>
        <w:t>Visitor contributions</w:t>
      </w:r>
      <w:r w:rsidR="005B3F9B" w:rsidRPr="005B3F9B">
        <w:rPr>
          <w:lang w:val="en-US"/>
        </w:rPr>
        <w:t xml:space="preserve"> from May 2018</w:t>
      </w:r>
    </w:p>
    <w:tbl>
      <w:tblPr>
        <w:tblStyle w:val="ListTable3Accent1"/>
        <w:tblW w:w="7308" w:type="dxa"/>
        <w:tblLook w:val="04A0" w:firstRow="1" w:lastRow="0" w:firstColumn="1" w:lastColumn="0" w:noHBand="0" w:noVBand="1"/>
      </w:tblPr>
      <w:tblGrid>
        <w:gridCol w:w="3539"/>
        <w:gridCol w:w="259"/>
        <w:gridCol w:w="3510"/>
      </w:tblGrid>
      <w:tr w:rsidR="005B3F9B" w:rsidTr="00B42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:rsidR="005B3F9B" w:rsidRPr="005B3F9B" w:rsidRDefault="005B3F9B" w:rsidP="00B42755">
            <w:pPr>
              <w:rPr>
                <w:lang w:val="en-US"/>
              </w:rPr>
            </w:pPr>
          </w:p>
        </w:tc>
        <w:tc>
          <w:tcPr>
            <w:tcW w:w="3769" w:type="dxa"/>
            <w:gridSpan w:val="2"/>
          </w:tcPr>
          <w:p w:rsidR="005B3F9B" w:rsidRPr="002D4027" w:rsidRDefault="005B3F9B" w:rsidP="00B427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D4027">
              <w:rPr>
                <w:sz w:val="24"/>
                <w:szCs w:val="24"/>
              </w:rPr>
              <w:t>US$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F9B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 w:rsidP="00B42755">
            <w:r>
              <w:t>Bas</w:t>
            </w:r>
            <w:r w:rsidR="00652813">
              <w:t xml:space="preserve">e </w:t>
            </w:r>
            <w:proofErr w:type="spellStart"/>
            <w:r w:rsidR="00652813">
              <w:t>contribution</w:t>
            </w:r>
            <w:proofErr w:type="spellEnd"/>
          </w:p>
        </w:tc>
        <w:tc>
          <w:tcPr>
            <w:tcW w:w="3510" w:type="dxa"/>
          </w:tcPr>
          <w:p w:rsidR="005B3F9B" w:rsidRDefault="005B3F9B" w:rsidP="00B4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 w:rsidP="00B42755"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25 </w:t>
            </w:r>
            <w:proofErr w:type="spellStart"/>
            <w:r>
              <w:t>days</w:t>
            </w:r>
            <w:proofErr w:type="spellEnd"/>
            <w:r>
              <w:t xml:space="preserve"> </w:t>
            </w:r>
          </w:p>
        </w:tc>
        <w:tc>
          <w:tcPr>
            <w:tcW w:w="3510" w:type="dxa"/>
          </w:tcPr>
          <w:p w:rsidR="005B3F9B" w:rsidRDefault="005B3F9B" w:rsidP="00B4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 w:rsidP="00B42755">
            <w:proofErr w:type="spellStart"/>
            <w:r>
              <w:t>Under</w:t>
            </w:r>
            <w:proofErr w:type="spellEnd"/>
            <w:r>
              <w:t>-/</w:t>
            </w:r>
            <w:proofErr w:type="spellStart"/>
            <w:r>
              <w:t>postgraduate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  <w:tc>
          <w:tcPr>
            <w:tcW w:w="3510" w:type="dxa"/>
          </w:tcPr>
          <w:p w:rsidR="005B3F9B" w:rsidRDefault="005B3F9B" w:rsidP="00B4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:rsidTr="00C6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 w:rsidP="00B42755">
            <w:proofErr w:type="spellStart"/>
            <w:r>
              <w:t>Peruvian</w:t>
            </w:r>
            <w:proofErr w:type="spellEnd"/>
            <w:r>
              <w:t xml:space="preserve"> </w:t>
            </w:r>
            <w:proofErr w:type="spellStart"/>
            <w:r>
              <w:t>researchers</w:t>
            </w:r>
            <w:proofErr w:type="spellEnd"/>
          </w:p>
        </w:tc>
        <w:tc>
          <w:tcPr>
            <w:tcW w:w="3510" w:type="dxa"/>
          </w:tcPr>
          <w:p w:rsidR="005B3F9B" w:rsidRDefault="005B3F9B" w:rsidP="00B42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  <w:tr w:rsidR="005B3F9B" w:rsidTr="00C6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5B3F9B" w:rsidRDefault="005B3F9B" w:rsidP="00B42755">
            <w:proofErr w:type="spellStart"/>
            <w:r>
              <w:t>Peruvian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3510" w:type="dxa"/>
          </w:tcPr>
          <w:p w:rsidR="005B3F9B" w:rsidRDefault="005B3F9B" w:rsidP="00B4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  <w:r w:rsidRPr="002D4027">
              <w:rPr>
                <w:sz w:val="18"/>
                <w:szCs w:val="18"/>
              </w:rPr>
              <w:t>00</w:t>
            </w:r>
          </w:p>
        </w:tc>
      </w:tr>
    </w:tbl>
    <w:p w:rsidR="005B3F9B" w:rsidRDefault="005B3F9B"/>
    <w:sectPr w:rsidR="005B3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7"/>
    <w:rsid w:val="001D45AB"/>
    <w:rsid w:val="00223FAA"/>
    <w:rsid w:val="002D4027"/>
    <w:rsid w:val="00305BD9"/>
    <w:rsid w:val="00305FD2"/>
    <w:rsid w:val="00321F0D"/>
    <w:rsid w:val="00521365"/>
    <w:rsid w:val="005B3F9B"/>
    <w:rsid w:val="00633299"/>
    <w:rsid w:val="00652813"/>
    <w:rsid w:val="007C3250"/>
    <w:rsid w:val="00A3443E"/>
    <w:rsid w:val="00B65814"/>
    <w:rsid w:val="00C4790F"/>
    <w:rsid w:val="00C62507"/>
    <w:rsid w:val="00D6330E"/>
    <w:rsid w:val="00E05274"/>
    <w:rsid w:val="00E60676"/>
    <w:rsid w:val="00E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anormal"/>
    <w:uiPriority w:val="48"/>
    <w:rsid w:val="002D402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anormal"/>
    <w:uiPriority w:val="48"/>
    <w:rsid w:val="002D402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Home</cp:lastModifiedBy>
  <cp:revision>2</cp:revision>
  <dcterms:created xsi:type="dcterms:W3CDTF">2018-02-13T19:02:00Z</dcterms:created>
  <dcterms:modified xsi:type="dcterms:W3CDTF">2018-02-13T19:02:00Z</dcterms:modified>
</cp:coreProperties>
</file>