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BDBBE" w14:textId="39A5B3D5" w:rsidR="000D259E" w:rsidRDefault="000D259E" w:rsidP="00F347A0">
      <w:pPr>
        <w:shd w:val="clear" w:color="auto" w:fill="FFFFFF"/>
        <w:spacing w:after="0" w:line="240" w:lineRule="auto"/>
        <w:rPr>
          <w:rFonts w:eastAsia="Times New Roman" w:cstheme="minorHAnsi"/>
          <w:b/>
          <w:lang w:val="en-GB" w:eastAsia="es-PE"/>
        </w:rPr>
      </w:pPr>
      <w:r>
        <w:rPr>
          <w:rFonts w:eastAsia="Times New Roman" w:cstheme="minorHAnsi"/>
          <w:b/>
          <w:lang w:val="en-GB" w:eastAsia="es-PE"/>
        </w:rPr>
        <w:t>ENGLISH</w:t>
      </w:r>
    </w:p>
    <w:p w14:paraId="572E1582" w14:textId="77777777" w:rsidR="000D259E" w:rsidRDefault="000D259E" w:rsidP="00F347A0">
      <w:pPr>
        <w:shd w:val="clear" w:color="auto" w:fill="FFFFFF"/>
        <w:spacing w:after="0" w:line="240" w:lineRule="auto"/>
        <w:rPr>
          <w:rFonts w:eastAsia="Times New Roman" w:cstheme="minorHAnsi"/>
          <w:b/>
          <w:lang w:val="en-GB" w:eastAsia="es-PE"/>
        </w:rPr>
      </w:pPr>
    </w:p>
    <w:p w14:paraId="17F52ACB" w14:textId="24DEB27F" w:rsidR="0094708C" w:rsidRPr="00D45A8D" w:rsidRDefault="00F347A0" w:rsidP="00F347A0">
      <w:pPr>
        <w:shd w:val="clear" w:color="auto" w:fill="FFFFFF"/>
        <w:spacing w:after="0" w:line="240" w:lineRule="auto"/>
        <w:rPr>
          <w:rFonts w:eastAsia="Times New Roman" w:cstheme="minorHAnsi"/>
          <w:lang w:val="en-GB" w:eastAsia="es-PE"/>
        </w:rPr>
      </w:pPr>
      <w:r w:rsidRPr="00D45A8D">
        <w:rPr>
          <w:rFonts w:eastAsia="Times New Roman" w:cstheme="minorHAnsi"/>
          <w:b/>
          <w:lang w:val="en-GB" w:eastAsia="es-PE"/>
        </w:rPr>
        <w:t>The</w:t>
      </w:r>
      <w:r w:rsidR="0003234C">
        <w:rPr>
          <w:rFonts w:eastAsia="Times New Roman" w:cstheme="minorHAnsi"/>
          <w:b/>
          <w:lang w:val="en-GB" w:eastAsia="es-PE"/>
        </w:rPr>
        <w:t xml:space="preserve"> climate crisis</w:t>
      </w:r>
      <w:r w:rsidRPr="00D45A8D">
        <w:rPr>
          <w:rFonts w:eastAsia="Times New Roman" w:cstheme="minorHAnsi"/>
          <w:b/>
          <w:lang w:val="en-GB" w:eastAsia="es-PE"/>
        </w:rPr>
        <w:t xml:space="preserve"> </w:t>
      </w:r>
      <w:r w:rsidR="00296162" w:rsidRPr="00D45A8D">
        <w:rPr>
          <w:rFonts w:eastAsia="Times New Roman" w:cstheme="minorHAnsi"/>
          <w:b/>
          <w:lang w:val="en-GB" w:eastAsia="es-PE"/>
        </w:rPr>
        <w:t>contribution</w:t>
      </w:r>
      <w:r w:rsidR="00CA726A" w:rsidRPr="00D45A8D">
        <w:rPr>
          <w:rFonts w:eastAsia="Times New Roman" w:cstheme="minorHAnsi"/>
          <w:b/>
          <w:lang w:val="en-GB" w:eastAsia="es-PE"/>
        </w:rPr>
        <w:t xml:space="preserve"> for international or national visitors</w:t>
      </w:r>
      <w:r w:rsidRPr="00D45A8D">
        <w:rPr>
          <w:rFonts w:eastAsia="Times New Roman" w:cstheme="minorHAnsi"/>
          <w:b/>
          <w:lang w:val="en-GB" w:eastAsia="es-PE"/>
        </w:rPr>
        <w:t xml:space="preserve"> has been set at</w:t>
      </w:r>
      <w:r w:rsidR="004A66F8" w:rsidRPr="00D45A8D">
        <w:rPr>
          <w:rFonts w:eastAsia="Times New Roman" w:cstheme="minorHAnsi"/>
          <w:b/>
          <w:lang w:val="en-GB" w:eastAsia="es-PE"/>
        </w:rPr>
        <w:t xml:space="preserve"> US$8</w:t>
      </w:r>
      <w:r w:rsidRPr="00D45A8D">
        <w:rPr>
          <w:rFonts w:eastAsia="Times New Roman" w:cstheme="minorHAnsi"/>
          <w:b/>
          <w:lang w:val="en-GB" w:eastAsia="es-PE"/>
        </w:rPr>
        <w:t>.</w:t>
      </w:r>
      <w:r w:rsidRPr="00D45A8D">
        <w:rPr>
          <w:rFonts w:eastAsia="Times New Roman" w:cstheme="minorHAnsi"/>
          <w:lang w:val="en-GB" w:eastAsia="es-PE"/>
        </w:rPr>
        <w:t xml:space="preserve"> </w:t>
      </w:r>
    </w:p>
    <w:p w14:paraId="3377608C" w14:textId="77777777" w:rsidR="0094708C" w:rsidRPr="00D45A8D" w:rsidRDefault="0094708C" w:rsidP="00F347A0">
      <w:pPr>
        <w:shd w:val="clear" w:color="auto" w:fill="FFFFFF"/>
        <w:spacing w:after="0" w:line="240" w:lineRule="auto"/>
        <w:rPr>
          <w:rFonts w:eastAsia="Times New Roman" w:cstheme="minorHAnsi"/>
          <w:lang w:val="en-GB" w:eastAsia="es-PE"/>
        </w:rPr>
      </w:pPr>
    </w:p>
    <w:p w14:paraId="05BFBA8C" w14:textId="65170E00" w:rsidR="00296162" w:rsidRPr="00D45A8D" w:rsidRDefault="00F347A0" w:rsidP="0014665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en-GB" w:eastAsia="es-PE"/>
        </w:rPr>
      </w:pPr>
      <w:r w:rsidRPr="00D45A8D">
        <w:rPr>
          <w:rFonts w:eastAsia="Times New Roman" w:cstheme="minorHAnsi"/>
          <w:lang w:val="en-GB" w:eastAsia="es-PE"/>
        </w:rPr>
        <w:t>This</w:t>
      </w:r>
      <w:r w:rsidR="00296162" w:rsidRPr="00D45A8D">
        <w:rPr>
          <w:rFonts w:eastAsia="Times New Roman" w:cstheme="minorHAnsi"/>
          <w:lang w:val="en-GB" w:eastAsia="es-PE"/>
        </w:rPr>
        <w:t xml:space="preserve"> is based on a</w:t>
      </w:r>
      <w:r w:rsidR="0094708C" w:rsidRPr="00D45A8D">
        <w:rPr>
          <w:rFonts w:eastAsia="Times New Roman" w:cstheme="minorHAnsi"/>
          <w:lang w:val="en-GB" w:eastAsia="es-PE"/>
        </w:rPr>
        <w:t xml:space="preserve">n </w:t>
      </w:r>
      <w:r w:rsidR="00296162" w:rsidRPr="00D45A8D">
        <w:rPr>
          <w:rFonts w:eastAsia="Times New Roman" w:cstheme="minorHAnsi"/>
          <w:lang w:val="en-GB" w:eastAsia="es-PE"/>
        </w:rPr>
        <w:t>offset of 0.</w:t>
      </w:r>
      <w:r w:rsidRPr="00D45A8D">
        <w:rPr>
          <w:rFonts w:eastAsia="Times New Roman" w:cstheme="minorHAnsi"/>
          <w:lang w:val="en-GB" w:eastAsia="es-PE"/>
        </w:rPr>
        <w:t>664</w:t>
      </w:r>
      <w:r w:rsidR="00296162" w:rsidRPr="00D45A8D">
        <w:rPr>
          <w:rFonts w:eastAsia="Times New Roman" w:cstheme="minorHAnsi"/>
          <w:lang w:val="en-GB" w:eastAsia="es-PE"/>
        </w:rPr>
        <w:t xml:space="preserve"> tonnes CO2eq and a price of US$1</w:t>
      </w:r>
      <w:r w:rsidR="008F0750" w:rsidRPr="00D45A8D">
        <w:rPr>
          <w:rFonts w:eastAsia="Times New Roman" w:cstheme="minorHAnsi"/>
          <w:lang w:val="en-GB" w:eastAsia="es-PE"/>
        </w:rPr>
        <w:t>2</w:t>
      </w:r>
      <w:r w:rsidR="00296162" w:rsidRPr="00D45A8D">
        <w:rPr>
          <w:rFonts w:eastAsia="Times New Roman" w:cstheme="minorHAnsi"/>
          <w:lang w:val="en-GB" w:eastAsia="es-PE"/>
        </w:rPr>
        <w:t xml:space="preserve"> per ton. </w:t>
      </w:r>
      <w:r w:rsidRPr="00D45A8D">
        <w:rPr>
          <w:rFonts w:cstheme="minorHAnsi"/>
          <w:lang w:val="en-GB"/>
        </w:rPr>
        <w:t>This contribution a</w:t>
      </w:r>
      <w:r w:rsidRPr="00D45A8D">
        <w:rPr>
          <w:rFonts w:eastAsia="Times New Roman" w:cstheme="minorHAnsi"/>
          <w:lang w:val="en-GB" w:eastAsia="es-PE"/>
        </w:rPr>
        <w:t xml:space="preserve">ssumes a 12 day stay, which is the average stay based on 2018 and 2019 visitor data registered by </w:t>
      </w:r>
      <w:r w:rsidR="00146654" w:rsidRPr="00D45A8D">
        <w:rPr>
          <w:rFonts w:eastAsia="Times New Roman" w:cstheme="minorHAnsi"/>
          <w:lang w:val="en-GB" w:eastAsia="es-PE"/>
        </w:rPr>
        <w:t>CCBS</w:t>
      </w:r>
      <w:r w:rsidRPr="00D45A8D">
        <w:rPr>
          <w:rFonts w:eastAsia="Times New Roman" w:cstheme="minorHAnsi"/>
          <w:lang w:val="en-GB" w:eastAsia="es-PE"/>
        </w:rPr>
        <w:t xml:space="preserve">. </w:t>
      </w:r>
      <w:r w:rsidRPr="00D45A8D">
        <w:rPr>
          <w:rFonts w:cstheme="minorHAnsi"/>
          <w:lang w:val="en-GB"/>
        </w:rPr>
        <w:t>L</w:t>
      </w:r>
      <w:r w:rsidRPr="00D45A8D">
        <w:rPr>
          <w:rFonts w:eastAsia="Times New Roman" w:cstheme="minorHAnsi"/>
          <w:lang w:val="en-GB" w:eastAsia="es-PE"/>
        </w:rPr>
        <w:t xml:space="preserve">ocal visitors and local school children are excluded from this contribution. </w:t>
      </w:r>
      <w:r w:rsidR="00296162" w:rsidRPr="00D45A8D">
        <w:rPr>
          <w:rFonts w:eastAsia="Times New Roman" w:cstheme="minorHAnsi"/>
          <w:lang w:val="en-GB" w:eastAsia="es-PE"/>
        </w:rPr>
        <w:t>The offset calculation</w:t>
      </w:r>
      <w:r w:rsidR="0002361D" w:rsidRPr="00D45A8D">
        <w:rPr>
          <w:rFonts w:eastAsia="Times New Roman" w:cstheme="minorHAnsi"/>
          <w:lang w:val="en-GB" w:eastAsia="es-PE"/>
        </w:rPr>
        <w:t xml:space="preserve"> is summarized in the table below and</w:t>
      </w:r>
      <w:r w:rsidR="00296162" w:rsidRPr="00D45A8D">
        <w:rPr>
          <w:rFonts w:eastAsia="Times New Roman" w:cstheme="minorHAnsi"/>
          <w:lang w:val="en-GB" w:eastAsia="es-PE"/>
        </w:rPr>
        <w:t xml:space="preserve"> includes </w:t>
      </w:r>
      <w:r w:rsidR="00C72A9D" w:rsidRPr="00D45A8D">
        <w:rPr>
          <w:rFonts w:eastAsia="Times New Roman" w:cstheme="minorHAnsi"/>
          <w:lang w:val="en-GB" w:eastAsia="es-PE"/>
        </w:rPr>
        <w:t xml:space="preserve">the emissions from </w:t>
      </w:r>
      <w:r w:rsidR="00296162" w:rsidRPr="00D45A8D">
        <w:rPr>
          <w:rFonts w:eastAsia="Times New Roman" w:cstheme="minorHAnsi"/>
          <w:lang w:val="en-GB" w:eastAsia="es-PE"/>
        </w:rPr>
        <w:t xml:space="preserve">one return domestic flight, all local transport, and food and board </w:t>
      </w:r>
      <w:r w:rsidR="008F0750" w:rsidRPr="00D45A8D">
        <w:rPr>
          <w:rFonts w:eastAsia="Times New Roman" w:cstheme="minorHAnsi"/>
          <w:lang w:val="en-GB" w:eastAsia="es-PE"/>
        </w:rPr>
        <w:t xml:space="preserve">while </w:t>
      </w:r>
      <w:r w:rsidR="00296162" w:rsidRPr="00D45A8D">
        <w:rPr>
          <w:rFonts w:eastAsia="Times New Roman" w:cstheme="minorHAnsi"/>
          <w:lang w:val="en-GB" w:eastAsia="es-PE"/>
        </w:rPr>
        <w:t>at the Station. It also includes the fixed operational emissions of the station</w:t>
      </w:r>
      <w:r w:rsidR="0002361D" w:rsidRPr="00D45A8D">
        <w:rPr>
          <w:rFonts w:eastAsia="Times New Roman" w:cstheme="minorHAnsi"/>
          <w:lang w:val="en-GB" w:eastAsia="es-PE"/>
        </w:rPr>
        <w:t>,</w:t>
      </w:r>
      <w:r w:rsidR="008F0750" w:rsidRPr="00D45A8D">
        <w:rPr>
          <w:rFonts w:eastAsia="Times New Roman" w:cstheme="minorHAnsi"/>
          <w:lang w:val="en-GB" w:eastAsia="es-PE"/>
        </w:rPr>
        <w:t xml:space="preserve"> and</w:t>
      </w:r>
      <w:r w:rsidR="00296162" w:rsidRPr="00D45A8D">
        <w:rPr>
          <w:rFonts w:eastAsia="Times New Roman" w:cstheme="minorHAnsi"/>
          <w:lang w:val="en-GB" w:eastAsia="es-PE"/>
        </w:rPr>
        <w:t xml:space="preserve"> </w:t>
      </w:r>
      <w:r w:rsidR="008F0750" w:rsidRPr="00D45A8D">
        <w:rPr>
          <w:rFonts w:eastAsia="Times New Roman" w:cstheme="minorHAnsi"/>
          <w:lang w:val="en-GB" w:eastAsia="es-PE"/>
        </w:rPr>
        <w:t xml:space="preserve">a </w:t>
      </w:r>
      <w:r w:rsidR="00296162" w:rsidRPr="00D45A8D">
        <w:rPr>
          <w:rFonts w:eastAsia="Times New Roman" w:cstheme="minorHAnsi"/>
          <w:lang w:val="en-GB" w:eastAsia="es-PE"/>
        </w:rPr>
        <w:t>buffer to take into account uncertainties in the measurements and ensure a climate positive contribution</w:t>
      </w:r>
      <w:r w:rsidR="00146654" w:rsidRPr="00D45A8D">
        <w:rPr>
          <w:rFonts w:eastAsia="Times New Roman" w:cstheme="minorHAnsi"/>
          <w:lang w:val="en-GB" w:eastAsia="es-PE"/>
        </w:rPr>
        <w:t xml:space="preserve"> (a</w:t>
      </w:r>
      <w:r w:rsidR="00146654" w:rsidRPr="00D45A8D">
        <w:rPr>
          <w:rFonts w:eastAsia="Times New Roman" w:cstheme="minorHAnsi"/>
          <w:lang w:val="en-GB" w:eastAsia="es-PE"/>
        </w:rPr>
        <w:t xml:space="preserve"> climate positive offset goes beyond emissions neutralization; more CO2 is sequestered than emitted by the person or organization purchasing the offset</w:t>
      </w:r>
      <w:r w:rsidR="00146654" w:rsidRPr="00D45A8D">
        <w:rPr>
          <w:rFonts w:eastAsia="Times New Roman" w:cstheme="minorHAnsi"/>
          <w:lang w:val="en-GB" w:eastAsia="es-PE"/>
        </w:rPr>
        <w:t>)</w:t>
      </w:r>
      <w:r w:rsidR="00146654" w:rsidRPr="00D45A8D">
        <w:rPr>
          <w:rFonts w:eastAsia="Times New Roman" w:cstheme="minorHAnsi"/>
          <w:sz w:val="18"/>
          <w:szCs w:val="18"/>
          <w:lang w:val="en-GB" w:eastAsia="es-PE"/>
        </w:rPr>
        <w:t>.</w:t>
      </w:r>
      <w:r w:rsidR="00296162" w:rsidRPr="00D45A8D">
        <w:rPr>
          <w:rFonts w:eastAsia="Times New Roman" w:cstheme="minorHAnsi"/>
          <w:lang w:val="en-GB" w:eastAsia="es-PE"/>
        </w:rPr>
        <w:t xml:space="preserve"> </w:t>
      </w:r>
    </w:p>
    <w:p w14:paraId="27643E9D" w14:textId="77777777" w:rsidR="008F0750" w:rsidRPr="00D45A8D" w:rsidRDefault="008F0750" w:rsidP="002961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en-GB" w:eastAsia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4104"/>
      </w:tblGrid>
      <w:tr w:rsidR="00296162" w:rsidRPr="00D45A8D" w14:paraId="4C5C156C" w14:textId="77777777" w:rsidTr="00606D46">
        <w:tc>
          <w:tcPr>
            <w:tcW w:w="2547" w:type="dxa"/>
            <w:shd w:val="clear" w:color="auto" w:fill="BFBFBF" w:themeFill="background1" w:themeFillShade="BF"/>
          </w:tcPr>
          <w:p w14:paraId="4BC2D7E3" w14:textId="77777777" w:rsidR="00296162" w:rsidRPr="00D45A8D" w:rsidRDefault="00296162" w:rsidP="00083860">
            <w:pPr>
              <w:rPr>
                <w:rFonts w:eastAsia="Times New Roman" w:cstheme="minorHAnsi"/>
                <w:b/>
                <w:sz w:val="20"/>
                <w:szCs w:val="20"/>
                <w:lang w:val="en-GB" w:eastAsia="es-PE"/>
              </w:rPr>
            </w:pPr>
            <w:r w:rsidRPr="00D45A8D">
              <w:rPr>
                <w:rFonts w:eastAsia="Times New Roman" w:cstheme="minorHAnsi"/>
                <w:b/>
                <w:sz w:val="20"/>
                <w:szCs w:val="20"/>
                <w:lang w:val="en-GB" w:eastAsia="es-PE"/>
              </w:rPr>
              <w:t>Item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CE10AEA" w14:textId="77777777" w:rsidR="00296162" w:rsidRPr="00D45A8D" w:rsidRDefault="00296162" w:rsidP="008F075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es-PE"/>
              </w:rPr>
            </w:pPr>
            <w:r w:rsidRPr="00D45A8D">
              <w:rPr>
                <w:rFonts w:eastAsia="Times New Roman" w:cstheme="minorHAnsi"/>
                <w:b/>
                <w:sz w:val="20"/>
                <w:szCs w:val="20"/>
                <w:lang w:val="en-GB" w:eastAsia="es-PE"/>
              </w:rPr>
              <w:t>GHG Emissions (tCO2eq)</w:t>
            </w:r>
          </w:p>
        </w:tc>
        <w:tc>
          <w:tcPr>
            <w:tcW w:w="4104" w:type="dxa"/>
            <w:shd w:val="clear" w:color="auto" w:fill="BFBFBF" w:themeFill="background1" w:themeFillShade="BF"/>
          </w:tcPr>
          <w:p w14:paraId="306C789E" w14:textId="77777777" w:rsidR="00296162" w:rsidRPr="00D45A8D" w:rsidRDefault="00296162" w:rsidP="00083860">
            <w:pPr>
              <w:rPr>
                <w:rFonts w:eastAsia="Times New Roman" w:cstheme="minorHAnsi"/>
                <w:b/>
                <w:sz w:val="20"/>
                <w:szCs w:val="20"/>
                <w:lang w:val="en-GB" w:eastAsia="es-PE"/>
              </w:rPr>
            </w:pPr>
            <w:r w:rsidRPr="00D45A8D">
              <w:rPr>
                <w:rFonts w:eastAsia="Times New Roman" w:cstheme="minorHAnsi"/>
                <w:b/>
                <w:sz w:val="20"/>
                <w:szCs w:val="20"/>
                <w:lang w:val="en-GB" w:eastAsia="es-PE"/>
              </w:rPr>
              <w:t>Notes</w:t>
            </w:r>
          </w:p>
        </w:tc>
      </w:tr>
      <w:tr w:rsidR="00296162" w:rsidRPr="00D45A8D" w14:paraId="61ED2529" w14:textId="77777777" w:rsidTr="00606D46">
        <w:tc>
          <w:tcPr>
            <w:tcW w:w="2547" w:type="dxa"/>
            <w:shd w:val="clear" w:color="auto" w:fill="BFBFBF" w:themeFill="background1" w:themeFillShade="BF"/>
          </w:tcPr>
          <w:p w14:paraId="03AEA9C7" w14:textId="77777777" w:rsidR="00296162" w:rsidRPr="00D45A8D" w:rsidRDefault="00296162" w:rsidP="00083860">
            <w:pPr>
              <w:rPr>
                <w:rFonts w:eastAsia="Times New Roman" w:cstheme="minorHAnsi"/>
                <w:sz w:val="20"/>
                <w:szCs w:val="20"/>
                <w:lang w:val="en-GB" w:eastAsia="es-PE"/>
              </w:rPr>
            </w:pPr>
            <w:r w:rsidRPr="00D45A8D">
              <w:rPr>
                <w:rFonts w:eastAsia="Times New Roman" w:cstheme="minorHAnsi"/>
                <w:sz w:val="20"/>
                <w:szCs w:val="20"/>
                <w:lang w:val="en-GB" w:eastAsia="es-PE"/>
              </w:rPr>
              <w:t>Return flight Lima-Cusco</w:t>
            </w:r>
          </w:p>
        </w:tc>
        <w:tc>
          <w:tcPr>
            <w:tcW w:w="1843" w:type="dxa"/>
          </w:tcPr>
          <w:p w14:paraId="5EB3ED17" w14:textId="77777777" w:rsidR="00296162" w:rsidRPr="00D45A8D" w:rsidRDefault="00296162" w:rsidP="008F0750">
            <w:pPr>
              <w:jc w:val="center"/>
              <w:rPr>
                <w:rFonts w:eastAsia="Times New Roman" w:cstheme="minorHAnsi"/>
                <w:sz w:val="20"/>
                <w:szCs w:val="20"/>
                <w:lang w:val="en-GB" w:eastAsia="es-PE"/>
              </w:rPr>
            </w:pPr>
            <w:r w:rsidRPr="00D45A8D">
              <w:rPr>
                <w:rFonts w:eastAsia="Times New Roman" w:cstheme="minorHAnsi"/>
                <w:sz w:val="20"/>
                <w:szCs w:val="20"/>
                <w:lang w:val="en-GB" w:eastAsia="es-PE"/>
              </w:rPr>
              <w:t>0.182</w:t>
            </w:r>
          </w:p>
        </w:tc>
        <w:tc>
          <w:tcPr>
            <w:tcW w:w="4104" w:type="dxa"/>
          </w:tcPr>
          <w:p w14:paraId="379B753B" w14:textId="77777777" w:rsidR="00296162" w:rsidRPr="00D45A8D" w:rsidRDefault="00296162" w:rsidP="00CD5E7D">
            <w:pPr>
              <w:rPr>
                <w:rFonts w:eastAsia="Times New Roman" w:cstheme="minorHAnsi"/>
                <w:sz w:val="18"/>
                <w:szCs w:val="18"/>
                <w:lang w:val="en-GB" w:eastAsia="es-PE"/>
              </w:rPr>
            </w:pPr>
            <w:r w:rsidRPr="00D45A8D">
              <w:rPr>
                <w:rFonts w:eastAsia="Times New Roman" w:cstheme="minorHAnsi"/>
                <w:sz w:val="18"/>
                <w:szCs w:val="18"/>
                <w:lang w:val="en-GB" w:eastAsia="es-PE"/>
              </w:rPr>
              <w:t xml:space="preserve">Most used </w:t>
            </w:r>
            <w:r w:rsidR="00CD5E7D" w:rsidRPr="00D45A8D">
              <w:rPr>
                <w:rFonts w:eastAsia="Times New Roman" w:cstheme="minorHAnsi"/>
                <w:sz w:val="18"/>
                <w:szCs w:val="18"/>
                <w:lang w:val="en-GB" w:eastAsia="es-PE"/>
              </w:rPr>
              <w:t>national</w:t>
            </w:r>
            <w:r w:rsidRPr="00D45A8D">
              <w:rPr>
                <w:rFonts w:eastAsia="Times New Roman" w:cstheme="minorHAnsi"/>
                <w:sz w:val="18"/>
                <w:szCs w:val="18"/>
                <w:lang w:val="en-GB" w:eastAsia="es-PE"/>
              </w:rPr>
              <w:t xml:space="preserve"> flight for Cashu visitors</w:t>
            </w:r>
          </w:p>
        </w:tc>
      </w:tr>
      <w:tr w:rsidR="00296162" w:rsidRPr="00D45A8D" w14:paraId="76014A45" w14:textId="77777777" w:rsidTr="00606D46">
        <w:tc>
          <w:tcPr>
            <w:tcW w:w="2547" w:type="dxa"/>
            <w:shd w:val="clear" w:color="auto" w:fill="BFBFBF" w:themeFill="background1" w:themeFillShade="BF"/>
          </w:tcPr>
          <w:p w14:paraId="61B76FBB" w14:textId="77777777" w:rsidR="00296162" w:rsidRPr="00D45A8D" w:rsidRDefault="00CD5E7D" w:rsidP="00083860">
            <w:pPr>
              <w:rPr>
                <w:rFonts w:eastAsia="Times New Roman" w:cstheme="minorHAnsi"/>
                <w:sz w:val="20"/>
                <w:szCs w:val="20"/>
                <w:lang w:val="en-GB" w:eastAsia="es-PE"/>
              </w:rPr>
            </w:pPr>
            <w:r w:rsidRPr="00D45A8D">
              <w:rPr>
                <w:rFonts w:eastAsia="Times New Roman" w:cstheme="minorHAnsi"/>
                <w:sz w:val="20"/>
                <w:szCs w:val="20"/>
                <w:lang w:val="en-GB" w:eastAsia="es-PE"/>
              </w:rPr>
              <w:t>Road and boat transport</w:t>
            </w:r>
          </w:p>
        </w:tc>
        <w:tc>
          <w:tcPr>
            <w:tcW w:w="1843" w:type="dxa"/>
          </w:tcPr>
          <w:p w14:paraId="554650F8" w14:textId="77777777" w:rsidR="00296162" w:rsidRPr="00D45A8D" w:rsidRDefault="00296162" w:rsidP="008F0750">
            <w:pPr>
              <w:jc w:val="center"/>
              <w:rPr>
                <w:rFonts w:eastAsia="Times New Roman" w:cstheme="minorHAnsi"/>
                <w:sz w:val="20"/>
                <w:szCs w:val="20"/>
                <w:lang w:val="en-GB" w:eastAsia="es-PE"/>
              </w:rPr>
            </w:pPr>
            <w:r w:rsidRPr="00D45A8D">
              <w:rPr>
                <w:rFonts w:eastAsia="Times New Roman" w:cstheme="minorHAnsi"/>
                <w:sz w:val="20"/>
                <w:szCs w:val="20"/>
                <w:lang w:val="en-GB" w:eastAsia="es-PE"/>
              </w:rPr>
              <w:t>0.150</w:t>
            </w:r>
          </w:p>
        </w:tc>
        <w:tc>
          <w:tcPr>
            <w:tcW w:w="4104" w:type="dxa"/>
          </w:tcPr>
          <w:p w14:paraId="059D137D" w14:textId="77777777" w:rsidR="00296162" w:rsidRPr="00D45A8D" w:rsidRDefault="00CD5E7D" w:rsidP="00083860">
            <w:pPr>
              <w:rPr>
                <w:rFonts w:eastAsia="Times New Roman" w:cstheme="minorHAnsi"/>
                <w:sz w:val="18"/>
                <w:szCs w:val="18"/>
                <w:lang w:val="en-GB" w:eastAsia="es-PE"/>
              </w:rPr>
            </w:pPr>
            <w:r w:rsidRPr="00D45A8D">
              <w:rPr>
                <w:rFonts w:eastAsia="Times New Roman" w:cstheme="minorHAnsi"/>
                <w:sz w:val="18"/>
                <w:szCs w:val="18"/>
                <w:lang w:val="en-GB" w:eastAsia="es-PE"/>
              </w:rPr>
              <w:t xml:space="preserve">Road to Atalaya, boat to </w:t>
            </w:r>
            <w:proofErr w:type="spellStart"/>
            <w:r w:rsidRPr="00D45A8D">
              <w:rPr>
                <w:rFonts w:eastAsia="Times New Roman" w:cstheme="minorHAnsi"/>
                <w:sz w:val="18"/>
                <w:szCs w:val="18"/>
                <w:lang w:val="en-GB" w:eastAsia="es-PE"/>
              </w:rPr>
              <w:t>Cashu</w:t>
            </w:r>
            <w:proofErr w:type="spellEnd"/>
            <w:r w:rsidRPr="00D45A8D">
              <w:rPr>
                <w:rFonts w:eastAsia="Times New Roman" w:cstheme="minorHAnsi"/>
                <w:sz w:val="18"/>
                <w:szCs w:val="18"/>
                <w:lang w:val="en-GB" w:eastAsia="es-PE"/>
              </w:rPr>
              <w:t>, with overnight in Boca Manu</w:t>
            </w:r>
          </w:p>
        </w:tc>
      </w:tr>
      <w:tr w:rsidR="00296162" w:rsidRPr="00D45A8D" w14:paraId="61BDC5B7" w14:textId="77777777" w:rsidTr="00606D46">
        <w:tc>
          <w:tcPr>
            <w:tcW w:w="2547" w:type="dxa"/>
            <w:shd w:val="clear" w:color="auto" w:fill="BFBFBF" w:themeFill="background1" w:themeFillShade="BF"/>
          </w:tcPr>
          <w:p w14:paraId="2A8B2B2F" w14:textId="77777777" w:rsidR="00296162" w:rsidRPr="00D45A8D" w:rsidRDefault="00CD5E7D" w:rsidP="00083860">
            <w:pPr>
              <w:rPr>
                <w:rFonts w:eastAsia="Times New Roman" w:cstheme="minorHAnsi"/>
                <w:sz w:val="20"/>
                <w:szCs w:val="20"/>
                <w:lang w:val="en-GB" w:eastAsia="es-PE"/>
              </w:rPr>
            </w:pPr>
            <w:r w:rsidRPr="00D45A8D">
              <w:rPr>
                <w:rFonts w:eastAsia="Times New Roman" w:cstheme="minorHAnsi"/>
                <w:sz w:val="20"/>
                <w:szCs w:val="20"/>
                <w:lang w:val="en-GB" w:eastAsia="es-PE"/>
              </w:rPr>
              <w:t>Board and lodging</w:t>
            </w:r>
          </w:p>
        </w:tc>
        <w:tc>
          <w:tcPr>
            <w:tcW w:w="1843" w:type="dxa"/>
          </w:tcPr>
          <w:p w14:paraId="38047621" w14:textId="77777777" w:rsidR="00296162" w:rsidRPr="00D45A8D" w:rsidRDefault="00CD5E7D" w:rsidP="008F0750">
            <w:pPr>
              <w:jc w:val="center"/>
              <w:rPr>
                <w:rFonts w:eastAsia="Times New Roman" w:cstheme="minorHAnsi"/>
                <w:sz w:val="20"/>
                <w:szCs w:val="20"/>
                <w:lang w:val="en-GB" w:eastAsia="es-PE"/>
              </w:rPr>
            </w:pPr>
            <w:r w:rsidRPr="00D45A8D">
              <w:rPr>
                <w:rFonts w:eastAsia="Times New Roman" w:cstheme="minorHAnsi"/>
                <w:sz w:val="20"/>
                <w:szCs w:val="20"/>
                <w:lang w:val="en-GB" w:eastAsia="es-PE"/>
              </w:rPr>
              <w:t>0.048</w:t>
            </w:r>
          </w:p>
        </w:tc>
        <w:tc>
          <w:tcPr>
            <w:tcW w:w="4104" w:type="dxa"/>
          </w:tcPr>
          <w:p w14:paraId="1E34917A" w14:textId="77777777" w:rsidR="00296162" w:rsidRPr="00D45A8D" w:rsidRDefault="0002361D" w:rsidP="0002361D">
            <w:pPr>
              <w:rPr>
                <w:rFonts w:eastAsia="Times New Roman" w:cstheme="minorHAnsi"/>
                <w:sz w:val="18"/>
                <w:szCs w:val="18"/>
                <w:lang w:val="en-GB" w:eastAsia="es-PE"/>
              </w:rPr>
            </w:pPr>
            <w:r w:rsidRPr="00D45A8D">
              <w:rPr>
                <w:rFonts w:eastAsia="Times New Roman" w:cstheme="minorHAnsi"/>
                <w:sz w:val="18"/>
                <w:szCs w:val="18"/>
                <w:lang w:val="en-GB" w:eastAsia="es-PE"/>
              </w:rPr>
              <w:t xml:space="preserve">Based on average </w:t>
            </w:r>
            <w:r w:rsidR="00CD5E7D" w:rsidRPr="00D45A8D">
              <w:rPr>
                <w:rFonts w:eastAsia="Times New Roman" w:cstheme="minorHAnsi"/>
                <w:sz w:val="18"/>
                <w:szCs w:val="18"/>
                <w:lang w:val="en-GB" w:eastAsia="es-PE"/>
              </w:rPr>
              <w:t>12 day</w:t>
            </w:r>
            <w:r w:rsidRPr="00D45A8D">
              <w:rPr>
                <w:rFonts w:eastAsia="Times New Roman" w:cstheme="minorHAnsi"/>
                <w:sz w:val="18"/>
                <w:szCs w:val="18"/>
                <w:lang w:val="en-GB" w:eastAsia="es-PE"/>
              </w:rPr>
              <w:t xml:space="preserve"> stay </w:t>
            </w:r>
          </w:p>
        </w:tc>
      </w:tr>
      <w:tr w:rsidR="00296162" w:rsidRPr="00D45A8D" w14:paraId="5919EDAD" w14:textId="77777777" w:rsidTr="00606D46">
        <w:tc>
          <w:tcPr>
            <w:tcW w:w="2547" w:type="dxa"/>
            <w:shd w:val="clear" w:color="auto" w:fill="BFBFBF" w:themeFill="background1" w:themeFillShade="BF"/>
          </w:tcPr>
          <w:p w14:paraId="4856F9DC" w14:textId="77777777" w:rsidR="00296162" w:rsidRPr="00D45A8D" w:rsidRDefault="00CD5E7D" w:rsidP="00083860">
            <w:pPr>
              <w:rPr>
                <w:rFonts w:eastAsia="Times New Roman" w:cstheme="minorHAnsi"/>
                <w:sz w:val="20"/>
                <w:szCs w:val="20"/>
                <w:lang w:val="en-GB" w:eastAsia="es-PE"/>
              </w:rPr>
            </w:pPr>
            <w:r w:rsidRPr="00D45A8D">
              <w:rPr>
                <w:rFonts w:eastAsia="Times New Roman" w:cstheme="minorHAnsi"/>
                <w:sz w:val="20"/>
                <w:szCs w:val="20"/>
                <w:lang w:val="en-GB" w:eastAsia="es-PE"/>
              </w:rPr>
              <w:t xml:space="preserve">Station fixed operation </w:t>
            </w:r>
          </w:p>
        </w:tc>
        <w:tc>
          <w:tcPr>
            <w:tcW w:w="1843" w:type="dxa"/>
          </w:tcPr>
          <w:p w14:paraId="4BBC5AD7" w14:textId="77777777" w:rsidR="00296162" w:rsidRPr="00D45A8D" w:rsidRDefault="00CD5E7D" w:rsidP="008F0750">
            <w:pPr>
              <w:jc w:val="center"/>
              <w:rPr>
                <w:rFonts w:eastAsia="Times New Roman" w:cstheme="minorHAnsi"/>
                <w:sz w:val="20"/>
                <w:szCs w:val="20"/>
                <w:lang w:val="en-GB" w:eastAsia="es-PE"/>
              </w:rPr>
            </w:pPr>
            <w:r w:rsidRPr="00D45A8D">
              <w:rPr>
                <w:rFonts w:eastAsia="Times New Roman" w:cstheme="minorHAnsi"/>
                <w:sz w:val="20"/>
                <w:szCs w:val="20"/>
                <w:lang w:val="en-GB" w:eastAsia="es-PE"/>
              </w:rPr>
              <w:t>0.112</w:t>
            </w:r>
          </w:p>
        </w:tc>
        <w:tc>
          <w:tcPr>
            <w:tcW w:w="4104" w:type="dxa"/>
          </w:tcPr>
          <w:p w14:paraId="13F5D5DB" w14:textId="77777777" w:rsidR="00296162" w:rsidRPr="00D45A8D" w:rsidRDefault="0002361D" w:rsidP="0002361D">
            <w:pPr>
              <w:rPr>
                <w:rFonts w:eastAsia="Times New Roman" w:cstheme="minorHAnsi"/>
                <w:sz w:val="18"/>
                <w:szCs w:val="18"/>
                <w:lang w:val="en-GB" w:eastAsia="es-PE"/>
              </w:rPr>
            </w:pPr>
            <w:r w:rsidRPr="00D45A8D">
              <w:rPr>
                <w:rFonts w:eastAsia="Times New Roman" w:cstheme="minorHAnsi"/>
                <w:sz w:val="18"/>
                <w:szCs w:val="18"/>
                <w:lang w:val="en-GB" w:eastAsia="es-PE"/>
              </w:rPr>
              <w:t>Calculated in 2018 as 56.69 tCO2eq and assigned to each visitor based on an average of 500 paying visitors per annum</w:t>
            </w:r>
          </w:p>
        </w:tc>
      </w:tr>
      <w:tr w:rsidR="00754669" w:rsidRPr="00D45A8D" w14:paraId="0BBC8AB0" w14:textId="77777777" w:rsidTr="00606D46">
        <w:tc>
          <w:tcPr>
            <w:tcW w:w="2547" w:type="dxa"/>
            <w:shd w:val="clear" w:color="auto" w:fill="BFBFBF" w:themeFill="background1" w:themeFillShade="BF"/>
          </w:tcPr>
          <w:p w14:paraId="52BFEBC0" w14:textId="77777777" w:rsidR="00754669" w:rsidRPr="00D45A8D" w:rsidRDefault="008F0750" w:rsidP="00083860">
            <w:pPr>
              <w:rPr>
                <w:rFonts w:eastAsia="Times New Roman" w:cstheme="minorHAnsi"/>
                <w:sz w:val="20"/>
                <w:szCs w:val="20"/>
                <w:lang w:val="en-GB" w:eastAsia="es-PE"/>
              </w:rPr>
            </w:pPr>
            <w:r w:rsidRPr="00D45A8D">
              <w:rPr>
                <w:rFonts w:eastAsia="Times New Roman" w:cstheme="minorHAnsi"/>
                <w:sz w:val="20"/>
                <w:szCs w:val="20"/>
                <w:lang w:val="en-GB" w:eastAsia="es-PE"/>
              </w:rPr>
              <w:t>Buffer</w:t>
            </w:r>
          </w:p>
        </w:tc>
        <w:tc>
          <w:tcPr>
            <w:tcW w:w="1843" w:type="dxa"/>
          </w:tcPr>
          <w:p w14:paraId="27C3FFCA" w14:textId="77777777" w:rsidR="00754669" w:rsidRPr="00D45A8D" w:rsidRDefault="008F0750" w:rsidP="008F0750">
            <w:pPr>
              <w:jc w:val="center"/>
              <w:rPr>
                <w:rFonts w:eastAsia="Times New Roman" w:cstheme="minorHAnsi"/>
                <w:sz w:val="20"/>
                <w:szCs w:val="20"/>
                <w:lang w:val="en-GB" w:eastAsia="es-PE"/>
              </w:rPr>
            </w:pPr>
            <w:r w:rsidRPr="00D45A8D">
              <w:rPr>
                <w:rFonts w:eastAsia="Times New Roman" w:cstheme="minorHAnsi"/>
                <w:sz w:val="20"/>
                <w:szCs w:val="20"/>
                <w:lang w:val="en-GB" w:eastAsia="es-PE"/>
              </w:rPr>
              <w:t>0.172</w:t>
            </w:r>
          </w:p>
        </w:tc>
        <w:tc>
          <w:tcPr>
            <w:tcW w:w="4104" w:type="dxa"/>
          </w:tcPr>
          <w:p w14:paraId="2538B676" w14:textId="77777777" w:rsidR="00754669" w:rsidRPr="00D45A8D" w:rsidRDefault="008F0750" w:rsidP="008F0750">
            <w:pPr>
              <w:rPr>
                <w:rFonts w:eastAsia="Times New Roman" w:cstheme="minorHAnsi"/>
                <w:sz w:val="18"/>
                <w:szCs w:val="18"/>
                <w:lang w:val="en-GB" w:eastAsia="es-PE"/>
              </w:rPr>
            </w:pPr>
            <w:r w:rsidRPr="00D45A8D">
              <w:rPr>
                <w:rFonts w:eastAsia="Times New Roman" w:cstheme="minorHAnsi"/>
                <w:sz w:val="18"/>
                <w:szCs w:val="18"/>
                <w:lang w:val="en-GB" w:eastAsia="es-PE"/>
              </w:rPr>
              <w:t xml:space="preserve">Calculations are based on visitor averages, benchmark emission data and IPCC emission factors. A </w:t>
            </w:r>
            <w:r w:rsidR="00754669" w:rsidRPr="00D45A8D">
              <w:rPr>
                <w:rFonts w:eastAsia="Times New Roman" w:cstheme="minorHAnsi"/>
                <w:sz w:val="18"/>
                <w:szCs w:val="18"/>
                <w:lang w:val="en-GB" w:eastAsia="es-PE"/>
              </w:rPr>
              <w:t xml:space="preserve">35% </w:t>
            </w:r>
            <w:r w:rsidRPr="00D45A8D">
              <w:rPr>
                <w:rFonts w:eastAsia="Times New Roman" w:cstheme="minorHAnsi"/>
                <w:sz w:val="18"/>
                <w:szCs w:val="18"/>
                <w:lang w:val="en-GB" w:eastAsia="es-PE"/>
              </w:rPr>
              <w:t xml:space="preserve">buffer has been included to ensure </w:t>
            </w:r>
            <w:r w:rsidRPr="00D45A8D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n-GB"/>
              </w:rPr>
              <w:t>a climate positive outcome. Any overage will compensate for the past carbon footprint of the Station.</w:t>
            </w:r>
          </w:p>
        </w:tc>
      </w:tr>
      <w:tr w:rsidR="0002361D" w:rsidRPr="00D45A8D" w14:paraId="16909777" w14:textId="77777777" w:rsidTr="00606D46">
        <w:tc>
          <w:tcPr>
            <w:tcW w:w="2547" w:type="dxa"/>
            <w:shd w:val="clear" w:color="auto" w:fill="BFBFBF" w:themeFill="background1" w:themeFillShade="BF"/>
          </w:tcPr>
          <w:p w14:paraId="5B212FCB" w14:textId="77777777" w:rsidR="0002361D" w:rsidRPr="00D45A8D" w:rsidRDefault="0002361D" w:rsidP="00083860">
            <w:pPr>
              <w:rPr>
                <w:rFonts w:eastAsia="Times New Roman" w:cstheme="minorHAnsi"/>
                <w:b/>
                <w:sz w:val="20"/>
                <w:szCs w:val="20"/>
                <w:lang w:val="en-GB" w:eastAsia="es-PE"/>
              </w:rPr>
            </w:pPr>
            <w:r w:rsidRPr="00D45A8D">
              <w:rPr>
                <w:rFonts w:eastAsia="Times New Roman" w:cstheme="minorHAnsi"/>
                <w:b/>
                <w:sz w:val="20"/>
                <w:szCs w:val="20"/>
                <w:lang w:val="en-GB" w:eastAsia="es-PE"/>
              </w:rPr>
              <w:t>Total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23335EE2" w14:textId="77777777" w:rsidR="0002361D" w:rsidRPr="00D45A8D" w:rsidRDefault="0002361D" w:rsidP="008F075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es-PE"/>
              </w:rPr>
            </w:pPr>
            <w:r w:rsidRPr="00D45A8D">
              <w:rPr>
                <w:rFonts w:eastAsia="Times New Roman" w:cstheme="minorHAnsi"/>
                <w:b/>
                <w:sz w:val="20"/>
                <w:szCs w:val="20"/>
                <w:lang w:val="en-GB" w:eastAsia="es-PE"/>
              </w:rPr>
              <w:t>0.</w:t>
            </w:r>
            <w:r w:rsidR="008F0750" w:rsidRPr="00D45A8D">
              <w:rPr>
                <w:rFonts w:eastAsia="Times New Roman" w:cstheme="minorHAnsi"/>
                <w:b/>
                <w:sz w:val="20"/>
                <w:szCs w:val="20"/>
                <w:lang w:val="en-GB" w:eastAsia="es-PE"/>
              </w:rPr>
              <w:t>664</w:t>
            </w:r>
          </w:p>
        </w:tc>
        <w:tc>
          <w:tcPr>
            <w:tcW w:w="4104" w:type="dxa"/>
            <w:shd w:val="clear" w:color="auto" w:fill="BFBFBF" w:themeFill="background1" w:themeFillShade="BF"/>
          </w:tcPr>
          <w:p w14:paraId="04CBB94E" w14:textId="77777777" w:rsidR="0002361D" w:rsidRPr="00D45A8D" w:rsidRDefault="0002361D" w:rsidP="0002361D">
            <w:pPr>
              <w:rPr>
                <w:rFonts w:eastAsia="Times New Roman" w:cstheme="minorHAnsi"/>
                <w:b/>
                <w:sz w:val="16"/>
                <w:szCs w:val="16"/>
                <w:lang w:val="en-GB" w:eastAsia="es-PE"/>
              </w:rPr>
            </w:pPr>
          </w:p>
        </w:tc>
      </w:tr>
    </w:tbl>
    <w:p w14:paraId="440F7790" w14:textId="77777777" w:rsidR="00296162" w:rsidRPr="00D45A8D" w:rsidRDefault="00296162" w:rsidP="002961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en-GB" w:eastAsia="es-PE"/>
        </w:rPr>
      </w:pPr>
    </w:p>
    <w:p w14:paraId="206AA628" w14:textId="77777777" w:rsidR="00F347A0" w:rsidRPr="00D45A8D" w:rsidRDefault="00F347A0" w:rsidP="00146654">
      <w:pPr>
        <w:shd w:val="clear" w:color="auto" w:fill="FFFFFF"/>
        <w:spacing w:after="0" w:line="240" w:lineRule="auto"/>
        <w:jc w:val="both"/>
        <w:rPr>
          <w:rFonts w:cstheme="minorHAnsi"/>
          <w:lang w:val="en-GB"/>
        </w:rPr>
      </w:pPr>
      <w:r w:rsidRPr="00D45A8D">
        <w:rPr>
          <w:rFonts w:eastAsia="Times New Roman" w:cstheme="minorHAnsi"/>
          <w:lang w:val="en-GB" w:eastAsia="es-PE"/>
        </w:rPr>
        <w:t xml:space="preserve">An additional contribution due to flights to Peru for international visitors has </w:t>
      </w:r>
      <w:r w:rsidR="00606D46" w:rsidRPr="00D45A8D">
        <w:rPr>
          <w:rFonts w:eastAsia="Times New Roman" w:cstheme="minorHAnsi"/>
          <w:lang w:val="en-GB" w:eastAsia="es-PE"/>
        </w:rPr>
        <w:t>also been established. This is based on standard economy flight emissions, using the International Civil Aviation Authority calculator</w:t>
      </w:r>
      <w:r w:rsidR="00642FBE" w:rsidRPr="00D45A8D">
        <w:rPr>
          <w:rStyle w:val="Refdenotaalpie"/>
          <w:rFonts w:eastAsia="Times New Roman" w:cstheme="minorHAnsi"/>
          <w:lang w:val="en-GB" w:eastAsia="es-PE"/>
        </w:rPr>
        <w:footnoteReference w:id="1"/>
      </w:r>
      <w:r w:rsidR="00606D46" w:rsidRPr="00D45A8D">
        <w:rPr>
          <w:rFonts w:eastAsia="Times New Roman" w:cstheme="minorHAnsi"/>
          <w:lang w:val="en-GB" w:eastAsia="es-PE"/>
        </w:rPr>
        <w:t xml:space="preserve"> </w:t>
      </w:r>
      <w:r w:rsidR="00606D46" w:rsidRPr="00D45A8D">
        <w:rPr>
          <w:rFonts w:cstheme="minorHAnsi"/>
          <w:lang w:val="en-GB"/>
        </w:rPr>
        <w:t>and averaging ov</w:t>
      </w:r>
      <w:r w:rsidR="00642FBE" w:rsidRPr="00D45A8D">
        <w:rPr>
          <w:rFonts w:cstheme="minorHAnsi"/>
          <w:lang w:val="en-GB"/>
        </w:rPr>
        <w:t>er countries for each continent:</w:t>
      </w:r>
    </w:p>
    <w:p w14:paraId="36751404" w14:textId="77777777" w:rsidR="00642FBE" w:rsidRPr="00D45A8D" w:rsidRDefault="00642FBE" w:rsidP="00F347A0">
      <w:pPr>
        <w:shd w:val="clear" w:color="auto" w:fill="FFFFFF"/>
        <w:spacing w:after="0" w:line="240" w:lineRule="auto"/>
        <w:rPr>
          <w:rFonts w:eastAsia="Times New Roman" w:cstheme="minorHAnsi"/>
          <w:lang w:val="en-GB" w:eastAsia="es-PE"/>
        </w:rPr>
      </w:pPr>
    </w:p>
    <w:p w14:paraId="448D9BDE" w14:textId="77777777" w:rsidR="00F347A0" w:rsidRPr="00D45A8D" w:rsidRDefault="00F347A0" w:rsidP="00F347A0">
      <w:pPr>
        <w:shd w:val="clear" w:color="auto" w:fill="FFFFFF"/>
        <w:spacing w:after="0" w:line="240" w:lineRule="auto"/>
        <w:rPr>
          <w:rFonts w:eastAsia="Times New Roman" w:cstheme="minorHAnsi"/>
          <w:b/>
          <w:lang w:val="en-GB" w:eastAsia="es-PE"/>
        </w:rPr>
      </w:pPr>
      <w:r w:rsidRPr="00D45A8D">
        <w:rPr>
          <w:rFonts w:eastAsia="Times New Roman" w:cstheme="minorHAnsi"/>
          <w:b/>
          <w:lang w:val="en-GB" w:eastAsia="es-PE"/>
        </w:rPr>
        <w:t>Visitors from South America: US$4</w:t>
      </w:r>
    </w:p>
    <w:p w14:paraId="07A17941" w14:textId="77777777" w:rsidR="00F347A0" w:rsidRPr="00D45A8D" w:rsidRDefault="00F347A0" w:rsidP="00F347A0">
      <w:pPr>
        <w:shd w:val="clear" w:color="auto" w:fill="FFFFFF"/>
        <w:spacing w:after="0" w:line="240" w:lineRule="auto"/>
        <w:rPr>
          <w:rFonts w:eastAsia="Times New Roman" w:cstheme="minorHAnsi"/>
          <w:b/>
          <w:lang w:val="en-GB" w:eastAsia="es-PE"/>
        </w:rPr>
      </w:pPr>
      <w:r w:rsidRPr="00D45A8D">
        <w:rPr>
          <w:rFonts w:eastAsia="Times New Roman" w:cstheme="minorHAnsi"/>
          <w:b/>
          <w:lang w:val="en-GB" w:eastAsia="es-PE"/>
        </w:rPr>
        <w:t>Visitors from North and Central America: US$6</w:t>
      </w:r>
    </w:p>
    <w:p w14:paraId="58B571C7" w14:textId="77777777" w:rsidR="00F347A0" w:rsidRPr="00D45A8D" w:rsidRDefault="00F347A0" w:rsidP="00F347A0">
      <w:pPr>
        <w:shd w:val="clear" w:color="auto" w:fill="FFFFFF"/>
        <w:spacing w:after="0" w:line="240" w:lineRule="auto"/>
        <w:rPr>
          <w:rFonts w:eastAsia="Times New Roman" w:cstheme="minorHAnsi"/>
          <w:b/>
          <w:lang w:val="en-GB" w:eastAsia="es-PE"/>
        </w:rPr>
      </w:pPr>
      <w:r w:rsidRPr="00D45A8D">
        <w:rPr>
          <w:rFonts w:eastAsia="Times New Roman" w:cstheme="minorHAnsi"/>
          <w:b/>
          <w:lang w:val="en-GB" w:eastAsia="es-PE"/>
        </w:rPr>
        <w:t>Visitors from Europe: US$12</w:t>
      </w:r>
    </w:p>
    <w:p w14:paraId="43DABDDA" w14:textId="77777777" w:rsidR="00F347A0" w:rsidRPr="00D45A8D" w:rsidRDefault="00F347A0" w:rsidP="00F347A0">
      <w:pPr>
        <w:shd w:val="clear" w:color="auto" w:fill="FFFFFF"/>
        <w:spacing w:after="0" w:line="240" w:lineRule="auto"/>
        <w:rPr>
          <w:rFonts w:eastAsia="Times New Roman" w:cstheme="minorHAnsi"/>
          <w:b/>
          <w:lang w:val="en-GB" w:eastAsia="es-PE"/>
        </w:rPr>
      </w:pPr>
      <w:r w:rsidRPr="00D45A8D">
        <w:rPr>
          <w:rFonts w:eastAsia="Times New Roman" w:cstheme="minorHAnsi"/>
          <w:b/>
          <w:lang w:val="en-GB" w:eastAsia="es-PE"/>
        </w:rPr>
        <w:t>Visitors from Asia, Africa and Oceania: US$18   </w:t>
      </w:r>
    </w:p>
    <w:p w14:paraId="39B236E0" w14:textId="77777777" w:rsidR="00F347A0" w:rsidRPr="00D45A8D" w:rsidRDefault="00F347A0" w:rsidP="002961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en-GB" w:eastAsia="es-PE"/>
        </w:rPr>
      </w:pPr>
    </w:p>
    <w:p w14:paraId="65CBEF88" w14:textId="77777777" w:rsidR="000D259E" w:rsidRDefault="000D259E" w:rsidP="0029616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val="en-GB" w:eastAsia="es-PE"/>
        </w:rPr>
      </w:pPr>
    </w:p>
    <w:p w14:paraId="08E3260B" w14:textId="21CD8DF7" w:rsidR="00F347A0" w:rsidRPr="0003234C" w:rsidRDefault="000D259E" w:rsidP="0029616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es-PE"/>
        </w:rPr>
      </w:pPr>
      <w:r w:rsidRPr="0003234C">
        <w:rPr>
          <w:rFonts w:eastAsia="Times New Roman" w:cstheme="minorHAnsi"/>
          <w:b/>
          <w:bCs/>
          <w:lang w:eastAsia="es-PE"/>
        </w:rPr>
        <w:t>ESPAÑOL</w:t>
      </w:r>
    </w:p>
    <w:p w14:paraId="42D7A909" w14:textId="77777777" w:rsidR="000D259E" w:rsidRPr="0003234C" w:rsidRDefault="000D259E" w:rsidP="0029616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s-PE"/>
        </w:rPr>
      </w:pPr>
    </w:p>
    <w:p w14:paraId="297B1779" w14:textId="43B0DEE6" w:rsidR="0094708C" w:rsidRPr="00D45A8D" w:rsidRDefault="00C72A9D" w:rsidP="00C72A9D">
      <w:pPr>
        <w:shd w:val="clear" w:color="auto" w:fill="FFFFFF"/>
        <w:spacing w:after="0" w:line="240" w:lineRule="auto"/>
        <w:rPr>
          <w:rFonts w:eastAsia="Times New Roman" w:cstheme="minorHAnsi"/>
          <w:lang w:eastAsia="es-PE"/>
        </w:rPr>
      </w:pPr>
      <w:r w:rsidRPr="00D45A8D">
        <w:rPr>
          <w:rFonts w:eastAsia="Times New Roman" w:cstheme="minorHAnsi"/>
          <w:b/>
          <w:lang w:eastAsia="es-PE"/>
        </w:rPr>
        <w:t>La contribución</w:t>
      </w:r>
      <w:r w:rsidR="0003234C">
        <w:rPr>
          <w:rFonts w:eastAsia="Times New Roman" w:cstheme="minorHAnsi"/>
          <w:b/>
          <w:lang w:eastAsia="es-PE"/>
        </w:rPr>
        <w:t xml:space="preserve"> a la crisis climática</w:t>
      </w:r>
      <w:r w:rsidRPr="00D45A8D">
        <w:rPr>
          <w:rFonts w:eastAsia="Times New Roman" w:cstheme="minorHAnsi"/>
          <w:b/>
          <w:lang w:eastAsia="es-PE"/>
        </w:rPr>
        <w:t xml:space="preserve"> </w:t>
      </w:r>
      <w:bookmarkStart w:id="0" w:name="_GoBack"/>
      <w:bookmarkEnd w:id="0"/>
      <w:r w:rsidRPr="00D45A8D">
        <w:rPr>
          <w:rFonts w:eastAsia="Times New Roman" w:cstheme="minorHAnsi"/>
          <w:b/>
          <w:lang w:eastAsia="es-PE"/>
        </w:rPr>
        <w:t xml:space="preserve">para visitantes internacionales o nacionales </w:t>
      </w:r>
      <w:r w:rsidR="00642FBE" w:rsidRPr="00D45A8D">
        <w:rPr>
          <w:rFonts w:eastAsia="Times New Roman" w:cstheme="minorHAnsi"/>
          <w:b/>
          <w:lang w:eastAsia="es-PE"/>
        </w:rPr>
        <w:t>es de</w:t>
      </w:r>
      <w:r w:rsidRPr="00D45A8D">
        <w:rPr>
          <w:rFonts w:eastAsia="Times New Roman" w:cstheme="minorHAnsi"/>
          <w:b/>
          <w:lang w:eastAsia="es-PE"/>
        </w:rPr>
        <w:t xml:space="preserve"> US$ 8.</w:t>
      </w:r>
      <w:r w:rsidRPr="00D45A8D">
        <w:rPr>
          <w:rFonts w:eastAsia="Times New Roman" w:cstheme="minorHAnsi"/>
          <w:lang w:eastAsia="es-PE"/>
        </w:rPr>
        <w:t xml:space="preserve"> </w:t>
      </w:r>
    </w:p>
    <w:p w14:paraId="72403659" w14:textId="77777777" w:rsidR="0094708C" w:rsidRPr="00D45A8D" w:rsidRDefault="0094708C" w:rsidP="00C72A9D">
      <w:pPr>
        <w:shd w:val="clear" w:color="auto" w:fill="FFFFFF"/>
        <w:spacing w:after="0" w:line="240" w:lineRule="auto"/>
        <w:rPr>
          <w:rFonts w:eastAsia="Times New Roman" w:cstheme="minorHAnsi"/>
          <w:lang w:eastAsia="es-PE"/>
        </w:rPr>
      </w:pPr>
    </w:p>
    <w:p w14:paraId="41AA37D0" w14:textId="5BB11417" w:rsidR="00D45A8D" w:rsidRPr="00D45A8D" w:rsidRDefault="00C72A9D" w:rsidP="00D45A8D">
      <w:pPr>
        <w:pStyle w:val="Textonotapie"/>
        <w:jc w:val="both"/>
        <w:rPr>
          <w:rFonts w:cstheme="minorHAnsi"/>
          <w:sz w:val="22"/>
          <w:szCs w:val="22"/>
        </w:rPr>
      </w:pPr>
      <w:r w:rsidRPr="00D45A8D">
        <w:rPr>
          <w:rFonts w:eastAsia="Times New Roman" w:cstheme="minorHAnsi"/>
          <w:sz w:val="22"/>
          <w:szCs w:val="22"/>
          <w:lang w:eastAsia="es-PE"/>
        </w:rPr>
        <w:t xml:space="preserve">Esto se basa en una compensación de 0.664 toneladas de CO2eq y un precio de US$ 12 por tonelada. Esta contribución supone una estadía de 12 días, que es la estadía promedio basada en los datos de visitantes de 2018 y 2019 registrados </w:t>
      </w:r>
      <w:r w:rsidR="0094708C" w:rsidRPr="00D45A8D">
        <w:rPr>
          <w:rFonts w:eastAsia="Times New Roman" w:cstheme="minorHAnsi"/>
          <w:sz w:val="22"/>
          <w:szCs w:val="22"/>
          <w:lang w:eastAsia="es-PE"/>
        </w:rPr>
        <w:t>en</w:t>
      </w:r>
      <w:r w:rsidRPr="00D45A8D">
        <w:rPr>
          <w:rFonts w:eastAsia="Times New Roman" w:cstheme="minorHAnsi"/>
          <w:sz w:val="22"/>
          <w:szCs w:val="22"/>
          <w:lang w:eastAsia="es-PE"/>
        </w:rPr>
        <w:t xml:space="preserve"> EBCC. Los visitantes locales y los escolares locales están excluidos de esta contribución. El cálculo de la compensación se resume en la tabla a continuación e incluye las emisiones de un vuelo doméstico ida y vuelta, todo el transporte local y alimentación mientras está en la estación. También incluye las emisiones operativas fijas de la estación</w:t>
      </w:r>
      <w:r w:rsidR="00EB4761" w:rsidRPr="00D45A8D">
        <w:rPr>
          <w:rFonts w:eastAsia="Times New Roman" w:cstheme="minorHAnsi"/>
          <w:sz w:val="22"/>
          <w:szCs w:val="22"/>
          <w:lang w:eastAsia="es-PE"/>
        </w:rPr>
        <w:t>,</w:t>
      </w:r>
      <w:r w:rsidRPr="00D45A8D">
        <w:rPr>
          <w:rFonts w:eastAsia="Times New Roman" w:cstheme="minorHAnsi"/>
          <w:sz w:val="22"/>
          <w:szCs w:val="22"/>
          <w:lang w:eastAsia="es-PE"/>
        </w:rPr>
        <w:t xml:space="preserve"> y un </w:t>
      </w:r>
      <w:r w:rsidR="00EB4761" w:rsidRPr="00D45A8D">
        <w:rPr>
          <w:rFonts w:eastAsia="Times New Roman" w:cstheme="minorHAnsi"/>
          <w:sz w:val="22"/>
          <w:szCs w:val="22"/>
          <w:lang w:eastAsia="es-PE"/>
        </w:rPr>
        <w:t>margen</w:t>
      </w:r>
      <w:r w:rsidRPr="00D45A8D">
        <w:rPr>
          <w:rFonts w:eastAsia="Times New Roman" w:cstheme="minorHAnsi"/>
          <w:sz w:val="22"/>
          <w:szCs w:val="22"/>
          <w:lang w:eastAsia="es-PE"/>
        </w:rPr>
        <w:t xml:space="preserve"> para tener en cuenta las incertidumbres en las mediciones y garantizar </w:t>
      </w:r>
      <w:r w:rsidR="00EB4761" w:rsidRPr="00D45A8D">
        <w:rPr>
          <w:rFonts w:eastAsia="Times New Roman" w:cstheme="minorHAnsi"/>
          <w:sz w:val="22"/>
          <w:szCs w:val="22"/>
          <w:lang w:eastAsia="es-PE"/>
        </w:rPr>
        <w:t>una compensación</w:t>
      </w:r>
      <w:r w:rsidRPr="00D45A8D">
        <w:rPr>
          <w:rFonts w:eastAsia="Times New Roman" w:cstheme="minorHAnsi"/>
          <w:sz w:val="22"/>
          <w:szCs w:val="22"/>
          <w:lang w:eastAsia="es-PE"/>
        </w:rPr>
        <w:t xml:space="preserve"> climática</w:t>
      </w:r>
      <w:r w:rsidR="00EB4761" w:rsidRPr="00D45A8D">
        <w:rPr>
          <w:rFonts w:eastAsia="Times New Roman" w:cstheme="minorHAnsi"/>
          <w:sz w:val="22"/>
          <w:szCs w:val="22"/>
          <w:lang w:eastAsia="es-PE"/>
        </w:rPr>
        <w:t>mente</w:t>
      </w:r>
      <w:r w:rsidRPr="00D45A8D">
        <w:rPr>
          <w:rFonts w:eastAsia="Times New Roman" w:cstheme="minorHAnsi"/>
          <w:sz w:val="22"/>
          <w:szCs w:val="22"/>
          <w:lang w:eastAsia="es-PE"/>
        </w:rPr>
        <w:t xml:space="preserve"> positiva</w:t>
      </w:r>
      <w:r w:rsidR="00D45A8D" w:rsidRPr="00D45A8D">
        <w:rPr>
          <w:rFonts w:eastAsia="Times New Roman" w:cstheme="minorHAnsi"/>
          <w:sz w:val="22"/>
          <w:szCs w:val="22"/>
          <w:lang w:eastAsia="es-PE"/>
        </w:rPr>
        <w:t xml:space="preserve"> (</w:t>
      </w:r>
      <w:r w:rsidR="00D45A8D" w:rsidRPr="00D45A8D">
        <w:rPr>
          <w:rFonts w:cstheme="minorHAnsi"/>
          <w:sz w:val="22"/>
          <w:szCs w:val="22"/>
        </w:rPr>
        <w:t>u</w:t>
      </w:r>
      <w:r w:rsidR="00D45A8D" w:rsidRPr="00D45A8D">
        <w:rPr>
          <w:rFonts w:cstheme="minorHAnsi"/>
          <w:sz w:val="22"/>
          <w:szCs w:val="22"/>
        </w:rPr>
        <w:t xml:space="preserve">na compensación </w:t>
      </w:r>
      <w:r w:rsidR="00D45A8D" w:rsidRPr="00D45A8D">
        <w:rPr>
          <w:rFonts w:cstheme="minorHAnsi"/>
          <w:sz w:val="22"/>
          <w:szCs w:val="22"/>
        </w:rPr>
        <w:lastRenderedPageBreak/>
        <w:t>climáticamente positiva va más allá de la neutralización de emisiones; se captura o secuestra más CO2 que el emitido por la persona u organización que adquiere la compensación</w:t>
      </w:r>
      <w:r w:rsidR="00D45A8D" w:rsidRPr="00D45A8D">
        <w:rPr>
          <w:rFonts w:cstheme="minorHAnsi"/>
          <w:sz w:val="22"/>
          <w:szCs w:val="22"/>
        </w:rPr>
        <w:t>)</w:t>
      </w:r>
      <w:r w:rsidR="00D45A8D" w:rsidRPr="00D45A8D">
        <w:rPr>
          <w:rFonts w:cstheme="minorHAnsi"/>
          <w:sz w:val="22"/>
          <w:szCs w:val="22"/>
        </w:rPr>
        <w:t>.</w:t>
      </w:r>
    </w:p>
    <w:p w14:paraId="2471F9C8" w14:textId="3A2BF306" w:rsidR="00C72A9D" w:rsidRPr="00D45A8D" w:rsidRDefault="00C72A9D" w:rsidP="00C72A9D">
      <w:pPr>
        <w:shd w:val="clear" w:color="auto" w:fill="FFFFFF"/>
        <w:spacing w:after="0" w:line="240" w:lineRule="auto"/>
        <w:rPr>
          <w:rFonts w:eastAsia="Times New Roman" w:cstheme="minorHAnsi"/>
          <w:lang w:eastAsia="es-PE"/>
        </w:rPr>
      </w:pPr>
    </w:p>
    <w:p w14:paraId="43883477" w14:textId="77777777" w:rsidR="00EB4761" w:rsidRPr="00D45A8D" w:rsidRDefault="00EB4761" w:rsidP="00EB476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s-PE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547"/>
        <w:gridCol w:w="1701"/>
        <w:gridCol w:w="5103"/>
      </w:tblGrid>
      <w:tr w:rsidR="00EB4761" w:rsidRPr="00D45A8D" w14:paraId="1B2516A9" w14:textId="77777777" w:rsidTr="00642FBE">
        <w:tc>
          <w:tcPr>
            <w:tcW w:w="2547" w:type="dxa"/>
            <w:shd w:val="clear" w:color="auto" w:fill="BFBFBF" w:themeFill="background1" w:themeFillShade="BF"/>
          </w:tcPr>
          <w:p w14:paraId="5B5185A8" w14:textId="77777777" w:rsidR="00EB4761" w:rsidRPr="00D45A8D" w:rsidRDefault="00EB4761" w:rsidP="00083860">
            <w:pPr>
              <w:rPr>
                <w:rFonts w:eastAsia="Times New Roman" w:cstheme="minorHAnsi"/>
                <w:b/>
                <w:sz w:val="20"/>
                <w:szCs w:val="20"/>
                <w:lang w:val="en-GB" w:eastAsia="es-PE"/>
              </w:rPr>
            </w:pPr>
            <w:r w:rsidRPr="00D45A8D">
              <w:rPr>
                <w:rFonts w:eastAsia="Times New Roman" w:cstheme="minorHAnsi"/>
                <w:b/>
                <w:sz w:val="20"/>
                <w:szCs w:val="20"/>
                <w:lang w:val="en-GB" w:eastAsia="es-PE"/>
              </w:rPr>
              <w:t>Item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181625C" w14:textId="77777777" w:rsidR="00EB4761" w:rsidRPr="00D45A8D" w:rsidRDefault="00EB4761" w:rsidP="0008386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es-PE"/>
              </w:rPr>
            </w:pPr>
            <w:proofErr w:type="spellStart"/>
            <w:r w:rsidRPr="00D45A8D">
              <w:rPr>
                <w:rFonts w:eastAsia="Times New Roman" w:cstheme="minorHAnsi"/>
                <w:b/>
                <w:sz w:val="20"/>
                <w:szCs w:val="20"/>
                <w:lang w:val="en-GB" w:eastAsia="es-PE"/>
              </w:rPr>
              <w:t>Emisiones</w:t>
            </w:r>
            <w:proofErr w:type="spellEnd"/>
            <w:r w:rsidRPr="00D45A8D">
              <w:rPr>
                <w:rFonts w:eastAsia="Times New Roman" w:cstheme="minorHAnsi"/>
                <w:b/>
                <w:sz w:val="20"/>
                <w:szCs w:val="20"/>
                <w:lang w:val="en-GB" w:eastAsia="es-PE"/>
              </w:rPr>
              <w:t xml:space="preserve"> GEI (tCO2eq)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3BA74594" w14:textId="77777777" w:rsidR="00EB4761" w:rsidRPr="00D45A8D" w:rsidRDefault="00EB4761" w:rsidP="00083860">
            <w:pPr>
              <w:rPr>
                <w:rFonts w:eastAsia="Times New Roman" w:cstheme="minorHAnsi"/>
                <w:b/>
                <w:sz w:val="20"/>
                <w:szCs w:val="20"/>
                <w:lang w:val="en-GB" w:eastAsia="es-PE"/>
              </w:rPr>
            </w:pPr>
            <w:proofErr w:type="spellStart"/>
            <w:r w:rsidRPr="00D45A8D">
              <w:rPr>
                <w:rFonts w:eastAsia="Times New Roman" w:cstheme="minorHAnsi"/>
                <w:b/>
                <w:sz w:val="20"/>
                <w:szCs w:val="20"/>
                <w:lang w:val="en-GB" w:eastAsia="es-PE"/>
              </w:rPr>
              <w:t>Notas</w:t>
            </w:r>
            <w:proofErr w:type="spellEnd"/>
          </w:p>
        </w:tc>
      </w:tr>
      <w:tr w:rsidR="00EB4761" w:rsidRPr="00D45A8D" w14:paraId="7310C284" w14:textId="77777777" w:rsidTr="00642FBE">
        <w:tc>
          <w:tcPr>
            <w:tcW w:w="2547" w:type="dxa"/>
            <w:shd w:val="clear" w:color="auto" w:fill="BFBFBF" w:themeFill="background1" w:themeFillShade="BF"/>
          </w:tcPr>
          <w:p w14:paraId="78E30757" w14:textId="77777777" w:rsidR="00EB4761" w:rsidRPr="00D45A8D" w:rsidRDefault="00EB4761" w:rsidP="00083860">
            <w:pPr>
              <w:rPr>
                <w:rFonts w:eastAsia="Times New Roman" w:cstheme="minorHAnsi"/>
                <w:sz w:val="20"/>
                <w:szCs w:val="20"/>
                <w:lang w:eastAsia="es-PE"/>
              </w:rPr>
            </w:pPr>
            <w:r w:rsidRPr="00D45A8D">
              <w:rPr>
                <w:rFonts w:eastAsia="Times New Roman" w:cstheme="minorHAnsi"/>
                <w:sz w:val="20"/>
                <w:szCs w:val="20"/>
                <w:lang w:eastAsia="es-PE"/>
              </w:rPr>
              <w:t>Vuelo ida y vuelta Lima-Cusco</w:t>
            </w:r>
          </w:p>
        </w:tc>
        <w:tc>
          <w:tcPr>
            <w:tcW w:w="1701" w:type="dxa"/>
          </w:tcPr>
          <w:p w14:paraId="389D8C6B" w14:textId="77777777" w:rsidR="00EB4761" w:rsidRPr="00D45A8D" w:rsidRDefault="00EB4761" w:rsidP="00083860">
            <w:pPr>
              <w:jc w:val="center"/>
              <w:rPr>
                <w:rFonts w:eastAsia="Times New Roman" w:cstheme="minorHAnsi"/>
                <w:sz w:val="20"/>
                <w:szCs w:val="20"/>
                <w:lang w:val="en-GB" w:eastAsia="es-PE"/>
              </w:rPr>
            </w:pPr>
            <w:r w:rsidRPr="00D45A8D">
              <w:rPr>
                <w:rFonts w:eastAsia="Times New Roman" w:cstheme="minorHAnsi"/>
                <w:sz w:val="20"/>
                <w:szCs w:val="20"/>
                <w:lang w:val="en-GB" w:eastAsia="es-PE"/>
              </w:rPr>
              <w:t>0.182</w:t>
            </w:r>
          </w:p>
        </w:tc>
        <w:tc>
          <w:tcPr>
            <w:tcW w:w="5103" w:type="dxa"/>
          </w:tcPr>
          <w:p w14:paraId="0F20A96F" w14:textId="77777777" w:rsidR="00EB4761" w:rsidRPr="00D45A8D" w:rsidRDefault="00EB4761" w:rsidP="00083860">
            <w:pPr>
              <w:rPr>
                <w:rFonts w:eastAsia="Times New Roman" w:cstheme="minorHAnsi"/>
                <w:sz w:val="18"/>
                <w:szCs w:val="18"/>
                <w:lang w:eastAsia="es-PE"/>
              </w:rPr>
            </w:pPr>
            <w:r w:rsidRPr="00D45A8D">
              <w:rPr>
                <w:rFonts w:eastAsia="Times New Roman" w:cstheme="minorHAnsi"/>
                <w:sz w:val="18"/>
                <w:szCs w:val="18"/>
                <w:lang w:eastAsia="es-PE"/>
              </w:rPr>
              <w:t>Vuelo nacional más utilizado por los visitantes de Cashu</w:t>
            </w:r>
          </w:p>
        </w:tc>
      </w:tr>
      <w:tr w:rsidR="00EB4761" w:rsidRPr="00D45A8D" w14:paraId="5D425BF5" w14:textId="77777777" w:rsidTr="00642FBE">
        <w:tc>
          <w:tcPr>
            <w:tcW w:w="2547" w:type="dxa"/>
            <w:shd w:val="clear" w:color="auto" w:fill="BFBFBF" w:themeFill="background1" w:themeFillShade="BF"/>
          </w:tcPr>
          <w:p w14:paraId="65032ED2" w14:textId="77777777" w:rsidR="00EB4761" w:rsidRPr="00D45A8D" w:rsidRDefault="00EB4761" w:rsidP="00083860">
            <w:pPr>
              <w:rPr>
                <w:rFonts w:eastAsia="Times New Roman" w:cstheme="minorHAnsi"/>
                <w:sz w:val="20"/>
                <w:szCs w:val="20"/>
                <w:lang w:val="en-GB" w:eastAsia="es-PE"/>
              </w:rPr>
            </w:pPr>
            <w:proofErr w:type="spellStart"/>
            <w:r w:rsidRPr="00D45A8D">
              <w:rPr>
                <w:rFonts w:eastAsia="Times New Roman" w:cstheme="minorHAnsi"/>
                <w:sz w:val="20"/>
                <w:szCs w:val="20"/>
                <w:lang w:val="en-GB" w:eastAsia="es-PE"/>
              </w:rPr>
              <w:t>Transporte</w:t>
            </w:r>
            <w:proofErr w:type="spellEnd"/>
            <w:r w:rsidRPr="00D45A8D">
              <w:rPr>
                <w:rFonts w:eastAsia="Times New Roman" w:cstheme="minorHAnsi"/>
                <w:sz w:val="20"/>
                <w:szCs w:val="20"/>
                <w:lang w:val="en-GB" w:eastAsia="es-PE"/>
              </w:rPr>
              <w:t xml:space="preserve"> </w:t>
            </w:r>
            <w:proofErr w:type="spellStart"/>
            <w:r w:rsidRPr="00D45A8D">
              <w:rPr>
                <w:rFonts w:eastAsia="Times New Roman" w:cstheme="minorHAnsi"/>
                <w:sz w:val="20"/>
                <w:szCs w:val="20"/>
                <w:lang w:val="en-GB" w:eastAsia="es-PE"/>
              </w:rPr>
              <w:t>terrestre</w:t>
            </w:r>
            <w:proofErr w:type="spellEnd"/>
            <w:r w:rsidRPr="00D45A8D">
              <w:rPr>
                <w:rFonts w:eastAsia="Times New Roman" w:cstheme="minorHAnsi"/>
                <w:sz w:val="20"/>
                <w:szCs w:val="20"/>
                <w:lang w:val="en-GB" w:eastAsia="es-PE"/>
              </w:rPr>
              <w:t xml:space="preserve"> y fluvial</w:t>
            </w:r>
          </w:p>
        </w:tc>
        <w:tc>
          <w:tcPr>
            <w:tcW w:w="1701" w:type="dxa"/>
          </w:tcPr>
          <w:p w14:paraId="46282BA5" w14:textId="77777777" w:rsidR="00EB4761" w:rsidRPr="00D45A8D" w:rsidRDefault="00EB4761" w:rsidP="00083860">
            <w:pPr>
              <w:jc w:val="center"/>
              <w:rPr>
                <w:rFonts w:eastAsia="Times New Roman" w:cstheme="minorHAnsi"/>
                <w:sz w:val="20"/>
                <w:szCs w:val="20"/>
                <w:lang w:val="en-GB" w:eastAsia="es-PE"/>
              </w:rPr>
            </w:pPr>
            <w:r w:rsidRPr="00D45A8D">
              <w:rPr>
                <w:rFonts w:eastAsia="Times New Roman" w:cstheme="minorHAnsi"/>
                <w:sz w:val="20"/>
                <w:szCs w:val="20"/>
                <w:lang w:val="en-GB" w:eastAsia="es-PE"/>
              </w:rPr>
              <w:t>0.150</w:t>
            </w:r>
          </w:p>
        </w:tc>
        <w:tc>
          <w:tcPr>
            <w:tcW w:w="5103" w:type="dxa"/>
          </w:tcPr>
          <w:p w14:paraId="0E1F2E5D" w14:textId="77777777" w:rsidR="00EB4761" w:rsidRPr="00D45A8D" w:rsidRDefault="00EB4761" w:rsidP="00083860">
            <w:pPr>
              <w:rPr>
                <w:rFonts w:eastAsia="Times New Roman" w:cstheme="minorHAnsi"/>
                <w:sz w:val="18"/>
                <w:szCs w:val="18"/>
                <w:lang w:eastAsia="es-PE"/>
              </w:rPr>
            </w:pPr>
            <w:r w:rsidRPr="00D45A8D">
              <w:rPr>
                <w:rFonts w:eastAsia="Times New Roman" w:cstheme="minorHAnsi"/>
                <w:sz w:val="18"/>
                <w:szCs w:val="18"/>
                <w:lang w:eastAsia="es-PE"/>
              </w:rPr>
              <w:t>Camino a Atalaya, bote a Cashu, con alojamiento en Boca Manu.</w:t>
            </w:r>
          </w:p>
        </w:tc>
      </w:tr>
      <w:tr w:rsidR="00EB4761" w:rsidRPr="00D45A8D" w14:paraId="75E76CAE" w14:textId="77777777" w:rsidTr="00642FBE">
        <w:tc>
          <w:tcPr>
            <w:tcW w:w="2547" w:type="dxa"/>
            <w:shd w:val="clear" w:color="auto" w:fill="BFBFBF" w:themeFill="background1" w:themeFillShade="BF"/>
          </w:tcPr>
          <w:p w14:paraId="55CEAC5B" w14:textId="77777777" w:rsidR="00EB4761" w:rsidRPr="00D45A8D" w:rsidRDefault="00EB4761" w:rsidP="00083860">
            <w:pPr>
              <w:rPr>
                <w:rFonts w:eastAsia="Times New Roman" w:cstheme="minorHAnsi"/>
                <w:sz w:val="20"/>
                <w:szCs w:val="20"/>
                <w:lang w:val="en-GB" w:eastAsia="es-PE"/>
              </w:rPr>
            </w:pPr>
            <w:proofErr w:type="spellStart"/>
            <w:r w:rsidRPr="00D45A8D">
              <w:rPr>
                <w:rFonts w:eastAsia="Times New Roman" w:cstheme="minorHAnsi"/>
                <w:sz w:val="20"/>
                <w:szCs w:val="20"/>
                <w:lang w:val="en-GB" w:eastAsia="es-PE"/>
              </w:rPr>
              <w:t>Alimentación</w:t>
            </w:r>
            <w:proofErr w:type="spellEnd"/>
          </w:p>
        </w:tc>
        <w:tc>
          <w:tcPr>
            <w:tcW w:w="1701" w:type="dxa"/>
          </w:tcPr>
          <w:p w14:paraId="74B6FD8A" w14:textId="77777777" w:rsidR="00EB4761" w:rsidRPr="00D45A8D" w:rsidRDefault="00EB4761" w:rsidP="00083860">
            <w:pPr>
              <w:jc w:val="center"/>
              <w:rPr>
                <w:rFonts w:eastAsia="Times New Roman" w:cstheme="minorHAnsi"/>
                <w:sz w:val="20"/>
                <w:szCs w:val="20"/>
                <w:lang w:val="en-GB" w:eastAsia="es-PE"/>
              </w:rPr>
            </w:pPr>
            <w:r w:rsidRPr="00D45A8D">
              <w:rPr>
                <w:rFonts w:eastAsia="Times New Roman" w:cstheme="minorHAnsi"/>
                <w:sz w:val="20"/>
                <w:szCs w:val="20"/>
                <w:lang w:val="en-GB" w:eastAsia="es-PE"/>
              </w:rPr>
              <w:t>0.048</w:t>
            </w:r>
          </w:p>
        </w:tc>
        <w:tc>
          <w:tcPr>
            <w:tcW w:w="5103" w:type="dxa"/>
          </w:tcPr>
          <w:p w14:paraId="2B299936" w14:textId="77777777" w:rsidR="00EB4761" w:rsidRPr="00D45A8D" w:rsidRDefault="00EB4761" w:rsidP="00083860">
            <w:pPr>
              <w:rPr>
                <w:rFonts w:eastAsia="Times New Roman" w:cstheme="minorHAnsi"/>
                <w:sz w:val="18"/>
                <w:szCs w:val="18"/>
                <w:lang w:eastAsia="es-PE"/>
              </w:rPr>
            </w:pPr>
            <w:r w:rsidRPr="00D45A8D">
              <w:rPr>
                <w:rFonts w:eastAsia="Times New Roman" w:cstheme="minorHAnsi"/>
                <w:sz w:val="18"/>
                <w:szCs w:val="18"/>
                <w:lang w:eastAsia="es-PE"/>
              </w:rPr>
              <w:t xml:space="preserve">Basado en estadía promedio de 12 días </w:t>
            </w:r>
          </w:p>
        </w:tc>
      </w:tr>
      <w:tr w:rsidR="00EB4761" w:rsidRPr="00D45A8D" w14:paraId="7EFD9410" w14:textId="77777777" w:rsidTr="00642FBE">
        <w:tc>
          <w:tcPr>
            <w:tcW w:w="2547" w:type="dxa"/>
            <w:shd w:val="clear" w:color="auto" w:fill="BFBFBF" w:themeFill="background1" w:themeFillShade="BF"/>
          </w:tcPr>
          <w:p w14:paraId="4A4134AA" w14:textId="77777777" w:rsidR="00EB4761" w:rsidRPr="00D45A8D" w:rsidRDefault="00EB4761" w:rsidP="00083860">
            <w:pPr>
              <w:rPr>
                <w:rFonts w:eastAsia="Times New Roman" w:cstheme="minorHAnsi"/>
                <w:sz w:val="20"/>
                <w:szCs w:val="20"/>
                <w:lang w:val="en-GB" w:eastAsia="es-PE"/>
              </w:rPr>
            </w:pPr>
            <w:proofErr w:type="spellStart"/>
            <w:r w:rsidRPr="00D45A8D">
              <w:rPr>
                <w:rFonts w:eastAsia="Times New Roman" w:cstheme="minorHAnsi"/>
                <w:sz w:val="20"/>
                <w:szCs w:val="20"/>
                <w:lang w:val="en-GB" w:eastAsia="es-PE"/>
              </w:rPr>
              <w:t>Operación</w:t>
            </w:r>
            <w:proofErr w:type="spellEnd"/>
            <w:r w:rsidRPr="00D45A8D">
              <w:rPr>
                <w:rFonts w:eastAsia="Times New Roman" w:cstheme="minorHAnsi"/>
                <w:sz w:val="20"/>
                <w:szCs w:val="20"/>
                <w:lang w:val="en-GB" w:eastAsia="es-PE"/>
              </w:rPr>
              <w:t xml:space="preserve"> </w:t>
            </w:r>
            <w:proofErr w:type="spellStart"/>
            <w:r w:rsidRPr="00D45A8D">
              <w:rPr>
                <w:rFonts w:eastAsia="Times New Roman" w:cstheme="minorHAnsi"/>
                <w:sz w:val="20"/>
                <w:szCs w:val="20"/>
                <w:lang w:val="en-GB" w:eastAsia="es-PE"/>
              </w:rPr>
              <w:t>fija</w:t>
            </w:r>
            <w:proofErr w:type="spellEnd"/>
            <w:r w:rsidRPr="00D45A8D">
              <w:rPr>
                <w:rFonts w:eastAsia="Times New Roman" w:cstheme="minorHAnsi"/>
                <w:sz w:val="20"/>
                <w:szCs w:val="20"/>
                <w:lang w:val="en-GB" w:eastAsia="es-PE"/>
              </w:rPr>
              <w:t xml:space="preserve"> </w:t>
            </w:r>
            <w:proofErr w:type="spellStart"/>
            <w:r w:rsidRPr="00D45A8D">
              <w:rPr>
                <w:rFonts w:eastAsia="Times New Roman" w:cstheme="minorHAnsi"/>
                <w:sz w:val="20"/>
                <w:szCs w:val="20"/>
                <w:lang w:val="en-GB" w:eastAsia="es-PE"/>
              </w:rPr>
              <w:t>Estación</w:t>
            </w:r>
            <w:proofErr w:type="spellEnd"/>
            <w:r w:rsidRPr="00D45A8D">
              <w:rPr>
                <w:rFonts w:eastAsia="Times New Roman" w:cstheme="minorHAnsi"/>
                <w:sz w:val="20"/>
                <w:szCs w:val="20"/>
                <w:lang w:val="en-GB" w:eastAsia="es-PE"/>
              </w:rPr>
              <w:t xml:space="preserve"> </w:t>
            </w:r>
          </w:p>
        </w:tc>
        <w:tc>
          <w:tcPr>
            <w:tcW w:w="1701" w:type="dxa"/>
          </w:tcPr>
          <w:p w14:paraId="428E3580" w14:textId="77777777" w:rsidR="00EB4761" w:rsidRPr="00D45A8D" w:rsidRDefault="00EB4761" w:rsidP="00083860">
            <w:pPr>
              <w:jc w:val="center"/>
              <w:rPr>
                <w:rFonts w:eastAsia="Times New Roman" w:cstheme="minorHAnsi"/>
                <w:sz w:val="20"/>
                <w:szCs w:val="20"/>
                <w:lang w:val="en-GB" w:eastAsia="es-PE"/>
              </w:rPr>
            </w:pPr>
            <w:r w:rsidRPr="00D45A8D">
              <w:rPr>
                <w:rFonts w:eastAsia="Times New Roman" w:cstheme="minorHAnsi"/>
                <w:sz w:val="20"/>
                <w:szCs w:val="20"/>
                <w:lang w:val="en-GB" w:eastAsia="es-PE"/>
              </w:rPr>
              <w:t>0.112</w:t>
            </w:r>
          </w:p>
        </w:tc>
        <w:tc>
          <w:tcPr>
            <w:tcW w:w="5103" w:type="dxa"/>
          </w:tcPr>
          <w:p w14:paraId="64A73DE0" w14:textId="77777777" w:rsidR="00EB4761" w:rsidRPr="00D45A8D" w:rsidRDefault="00EB4761" w:rsidP="00EB4761">
            <w:pPr>
              <w:rPr>
                <w:rFonts w:eastAsia="Times New Roman" w:cstheme="minorHAnsi"/>
                <w:sz w:val="18"/>
                <w:szCs w:val="18"/>
                <w:lang w:eastAsia="es-PE"/>
              </w:rPr>
            </w:pPr>
            <w:r w:rsidRPr="00D45A8D">
              <w:rPr>
                <w:rFonts w:eastAsia="Times New Roman" w:cstheme="minorHAnsi"/>
                <w:sz w:val="18"/>
                <w:szCs w:val="18"/>
                <w:lang w:eastAsia="es-PE"/>
              </w:rPr>
              <w:t>Calculado en 56.69 tCO2eq para 2018 y asignado a cada visitante en base a un promedio de 500 visitantes pagantes por año</w:t>
            </w:r>
          </w:p>
        </w:tc>
      </w:tr>
      <w:tr w:rsidR="00EB4761" w:rsidRPr="00D45A8D" w14:paraId="111AC1DE" w14:textId="77777777" w:rsidTr="00642FBE">
        <w:tc>
          <w:tcPr>
            <w:tcW w:w="2547" w:type="dxa"/>
            <w:shd w:val="clear" w:color="auto" w:fill="BFBFBF" w:themeFill="background1" w:themeFillShade="BF"/>
          </w:tcPr>
          <w:p w14:paraId="612613E9" w14:textId="77777777" w:rsidR="00EB4761" w:rsidRPr="00D45A8D" w:rsidRDefault="00EB4761" w:rsidP="00083860">
            <w:pPr>
              <w:rPr>
                <w:rFonts w:eastAsia="Times New Roman" w:cstheme="minorHAnsi"/>
                <w:sz w:val="20"/>
                <w:szCs w:val="20"/>
                <w:lang w:val="en-GB" w:eastAsia="es-PE"/>
              </w:rPr>
            </w:pPr>
            <w:proofErr w:type="spellStart"/>
            <w:r w:rsidRPr="00D45A8D">
              <w:rPr>
                <w:rFonts w:eastAsia="Times New Roman" w:cstheme="minorHAnsi"/>
                <w:sz w:val="20"/>
                <w:szCs w:val="20"/>
                <w:lang w:val="en-GB" w:eastAsia="es-PE"/>
              </w:rPr>
              <w:t>Margen</w:t>
            </w:r>
            <w:proofErr w:type="spellEnd"/>
          </w:p>
        </w:tc>
        <w:tc>
          <w:tcPr>
            <w:tcW w:w="1701" w:type="dxa"/>
          </w:tcPr>
          <w:p w14:paraId="0CD6B348" w14:textId="77777777" w:rsidR="00EB4761" w:rsidRPr="00D45A8D" w:rsidRDefault="00EB4761" w:rsidP="00083860">
            <w:pPr>
              <w:jc w:val="center"/>
              <w:rPr>
                <w:rFonts w:eastAsia="Times New Roman" w:cstheme="minorHAnsi"/>
                <w:sz w:val="20"/>
                <w:szCs w:val="20"/>
                <w:lang w:val="en-GB" w:eastAsia="es-PE"/>
              </w:rPr>
            </w:pPr>
            <w:r w:rsidRPr="00D45A8D">
              <w:rPr>
                <w:rFonts w:eastAsia="Times New Roman" w:cstheme="minorHAnsi"/>
                <w:sz w:val="20"/>
                <w:szCs w:val="20"/>
                <w:lang w:val="en-GB" w:eastAsia="es-PE"/>
              </w:rPr>
              <w:t>0.172</w:t>
            </w:r>
          </w:p>
        </w:tc>
        <w:tc>
          <w:tcPr>
            <w:tcW w:w="5103" w:type="dxa"/>
          </w:tcPr>
          <w:p w14:paraId="23A87845" w14:textId="77777777" w:rsidR="00EB4761" w:rsidRPr="00D45A8D" w:rsidRDefault="00EB4761" w:rsidP="00EB4761">
            <w:pPr>
              <w:rPr>
                <w:rFonts w:eastAsia="Times New Roman" w:cstheme="minorHAnsi"/>
                <w:sz w:val="18"/>
                <w:szCs w:val="18"/>
                <w:lang w:eastAsia="es-PE"/>
              </w:rPr>
            </w:pPr>
            <w:r w:rsidRPr="00D45A8D">
              <w:rPr>
                <w:rFonts w:eastAsia="Times New Roman" w:cstheme="minorHAnsi"/>
                <w:sz w:val="18"/>
                <w:szCs w:val="18"/>
                <w:lang w:eastAsia="es-PE"/>
              </w:rPr>
              <w:t>Los cálculos se basan en promedios de visitantes, datos de referencia de emisiones y factores de emisión del IPCC. Se ha incluido un margen del 35% para garantizar un resultado climáticamente positivo. Cualquier excedente compensará la huella de carbono histórica de la Estación.</w:t>
            </w:r>
          </w:p>
        </w:tc>
      </w:tr>
      <w:tr w:rsidR="00EB4761" w:rsidRPr="00D45A8D" w14:paraId="3FF89792" w14:textId="77777777" w:rsidTr="00642FBE">
        <w:tc>
          <w:tcPr>
            <w:tcW w:w="2547" w:type="dxa"/>
            <w:shd w:val="clear" w:color="auto" w:fill="BFBFBF" w:themeFill="background1" w:themeFillShade="BF"/>
          </w:tcPr>
          <w:p w14:paraId="4A8C0A1C" w14:textId="77777777" w:rsidR="00EB4761" w:rsidRPr="00D45A8D" w:rsidRDefault="00EB4761" w:rsidP="00083860">
            <w:pPr>
              <w:rPr>
                <w:rFonts w:eastAsia="Times New Roman" w:cstheme="minorHAnsi"/>
                <w:b/>
                <w:sz w:val="20"/>
                <w:szCs w:val="20"/>
                <w:lang w:val="en-GB" w:eastAsia="es-PE"/>
              </w:rPr>
            </w:pPr>
            <w:r w:rsidRPr="00D45A8D">
              <w:rPr>
                <w:rFonts w:eastAsia="Times New Roman" w:cstheme="minorHAnsi"/>
                <w:b/>
                <w:sz w:val="20"/>
                <w:szCs w:val="20"/>
                <w:lang w:val="en-GB" w:eastAsia="es-PE"/>
              </w:rPr>
              <w:t>Total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96CB14E" w14:textId="77777777" w:rsidR="00EB4761" w:rsidRPr="00D45A8D" w:rsidRDefault="00EB4761" w:rsidP="0008386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es-PE"/>
              </w:rPr>
            </w:pPr>
            <w:r w:rsidRPr="00D45A8D">
              <w:rPr>
                <w:rFonts w:eastAsia="Times New Roman" w:cstheme="minorHAnsi"/>
                <w:b/>
                <w:sz w:val="20"/>
                <w:szCs w:val="20"/>
                <w:lang w:val="en-GB" w:eastAsia="es-PE"/>
              </w:rPr>
              <w:t>0.664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59DAF512" w14:textId="77777777" w:rsidR="00EB4761" w:rsidRPr="00D45A8D" w:rsidRDefault="00EB4761" w:rsidP="00083860">
            <w:pPr>
              <w:rPr>
                <w:rFonts w:eastAsia="Times New Roman" w:cstheme="minorHAnsi"/>
                <w:b/>
                <w:sz w:val="16"/>
                <w:szCs w:val="16"/>
                <w:lang w:val="en-GB" w:eastAsia="es-PE"/>
              </w:rPr>
            </w:pPr>
          </w:p>
        </w:tc>
      </w:tr>
    </w:tbl>
    <w:p w14:paraId="3EDB8252" w14:textId="77777777" w:rsidR="00EB4761" w:rsidRPr="00D45A8D" w:rsidRDefault="00EB4761" w:rsidP="00EB476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en-GB" w:eastAsia="es-PE"/>
        </w:rPr>
      </w:pPr>
    </w:p>
    <w:p w14:paraId="06236C2B" w14:textId="7D78A47A" w:rsidR="00EB4761" w:rsidRPr="00D45A8D" w:rsidRDefault="00EB4761" w:rsidP="00D45A8D">
      <w:pPr>
        <w:spacing w:after="0" w:line="240" w:lineRule="auto"/>
        <w:jc w:val="both"/>
        <w:rPr>
          <w:rFonts w:cstheme="minorHAnsi"/>
        </w:rPr>
      </w:pPr>
      <w:r w:rsidRPr="00D45A8D">
        <w:rPr>
          <w:rFonts w:cstheme="minorHAnsi"/>
        </w:rPr>
        <w:t xml:space="preserve">También se ha establecido una contribución adicional debido a </w:t>
      </w:r>
      <w:r w:rsidR="0017610A" w:rsidRPr="00D45A8D">
        <w:rPr>
          <w:rFonts w:cstheme="minorHAnsi"/>
        </w:rPr>
        <w:t xml:space="preserve">los </w:t>
      </w:r>
      <w:r w:rsidRPr="00D45A8D">
        <w:rPr>
          <w:rFonts w:cstheme="minorHAnsi"/>
        </w:rPr>
        <w:t>vuelos a Perú para visitantes internacionales. Esto se basa en las emisiones de vuelo de economía estándar, utilizando la calculadora de la Autoridad de Aviación Civil Internacional</w:t>
      </w:r>
      <w:r w:rsidR="000D259E">
        <w:rPr>
          <w:rFonts w:cstheme="minorHAnsi"/>
        </w:rPr>
        <w:t xml:space="preserve"> </w:t>
      </w:r>
      <w:r w:rsidRPr="00D45A8D">
        <w:rPr>
          <w:rFonts w:cstheme="minorHAnsi"/>
        </w:rPr>
        <w:t>y promediando</w:t>
      </w:r>
      <w:r w:rsidR="0017610A" w:rsidRPr="00D45A8D">
        <w:rPr>
          <w:rFonts w:cstheme="minorHAnsi"/>
        </w:rPr>
        <w:t xml:space="preserve"> sobre</w:t>
      </w:r>
      <w:r w:rsidRPr="00D45A8D">
        <w:rPr>
          <w:rFonts w:cstheme="minorHAnsi"/>
        </w:rPr>
        <w:t xml:space="preserve"> los países de cada continente.</w:t>
      </w:r>
    </w:p>
    <w:p w14:paraId="4FB6A28F" w14:textId="77777777" w:rsidR="00D45A8D" w:rsidRPr="00D45A8D" w:rsidRDefault="00D45A8D" w:rsidP="0017610A">
      <w:pPr>
        <w:spacing w:after="0" w:line="276" w:lineRule="auto"/>
        <w:rPr>
          <w:rFonts w:cstheme="minorHAnsi"/>
        </w:rPr>
      </w:pPr>
    </w:p>
    <w:p w14:paraId="17F96213" w14:textId="77777777" w:rsidR="00EB4761" w:rsidRPr="00D45A8D" w:rsidRDefault="00EB4761" w:rsidP="0017610A">
      <w:pPr>
        <w:spacing w:after="0" w:line="276" w:lineRule="auto"/>
        <w:rPr>
          <w:rFonts w:cstheme="minorHAnsi"/>
          <w:b/>
        </w:rPr>
      </w:pPr>
      <w:r w:rsidRPr="00D45A8D">
        <w:rPr>
          <w:rFonts w:cstheme="minorHAnsi"/>
          <w:b/>
        </w:rPr>
        <w:t>Visitantes de Sudamérica: US$ 4</w:t>
      </w:r>
    </w:p>
    <w:p w14:paraId="55342C12" w14:textId="77777777" w:rsidR="00EB4761" w:rsidRPr="00D45A8D" w:rsidRDefault="00EB4761" w:rsidP="0017610A">
      <w:pPr>
        <w:spacing w:after="0" w:line="276" w:lineRule="auto"/>
        <w:rPr>
          <w:rFonts w:cstheme="minorHAnsi"/>
          <w:b/>
        </w:rPr>
      </w:pPr>
      <w:r w:rsidRPr="00D45A8D">
        <w:rPr>
          <w:rFonts w:cstheme="minorHAnsi"/>
          <w:b/>
        </w:rPr>
        <w:t>Visitantes de América del Norte y Central: US$ 6</w:t>
      </w:r>
    </w:p>
    <w:p w14:paraId="4D8B9F15" w14:textId="77777777" w:rsidR="00EB4761" w:rsidRPr="00D45A8D" w:rsidRDefault="00EB4761" w:rsidP="0017610A">
      <w:pPr>
        <w:spacing w:after="0" w:line="276" w:lineRule="auto"/>
        <w:rPr>
          <w:rFonts w:cstheme="minorHAnsi"/>
          <w:b/>
        </w:rPr>
      </w:pPr>
      <w:r w:rsidRPr="00D45A8D">
        <w:rPr>
          <w:rFonts w:cstheme="minorHAnsi"/>
          <w:b/>
        </w:rPr>
        <w:t>Visitantes de Europa: US$ 12</w:t>
      </w:r>
    </w:p>
    <w:p w14:paraId="0062BBBB" w14:textId="2C871DE5" w:rsidR="00EB4761" w:rsidRPr="00D45A8D" w:rsidRDefault="00EB4761" w:rsidP="0017610A">
      <w:pPr>
        <w:spacing w:after="0" w:line="276" w:lineRule="auto"/>
        <w:rPr>
          <w:rFonts w:cstheme="minorHAnsi"/>
          <w:b/>
        </w:rPr>
      </w:pPr>
      <w:r w:rsidRPr="00D45A8D">
        <w:rPr>
          <w:rFonts w:cstheme="minorHAnsi"/>
          <w:b/>
        </w:rPr>
        <w:t>Visitantes de Asia, África y Oceanía: US$ 18</w:t>
      </w:r>
    </w:p>
    <w:p w14:paraId="56929AC7" w14:textId="77777777" w:rsidR="00D45A8D" w:rsidRPr="00D45A8D" w:rsidRDefault="00D45A8D" w:rsidP="0017610A">
      <w:pPr>
        <w:spacing w:after="0" w:line="276" w:lineRule="auto"/>
        <w:rPr>
          <w:rFonts w:cstheme="minorHAnsi"/>
          <w:b/>
        </w:rPr>
      </w:pPr>
    </w:p>
    <w:sectPr w:rsidR="00D45A8D" w:rsidRPr="00D45A8D" w:rsidSect="000D259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6B50E" w14:textId="77777777" w:rsidR="001259EB" w:rsidRDefault="001259EB" w:rsidP="00D47DA3">
      <w:pPr>
        <w:spacing w:after="0" w:line="240" w:lineRule="auto"/>
      </w:pPr>
      <w:r>
        <w:separator/>
      </w:r>
    </w:p>
  </w:endnote>
  <w:endnote w:type="continuationSeparator" w:id="0">
    <w:p w14:paraId="45EF8674" w14:textId="77777777" w:rsidR="001259EB" w:rsidRDefault="001259EB" w:rsidP="00D4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5DBB9" w14:textId="77777777" w:rsidR="001259EB" w:rsidRDefault="001259EB" w:rsidP="00D47DA3">
      <w:pPr>
        <w:spacing w:after="0" w:line="240" w:lineRule="auto"/>
      </w:pPr>
      <w:r>
        <w:separator/>
      </w:r>
    </w:p>
  </w:footnote>
  <w:footnote w:type="continuationSeparator" w:id="0">
    <w:p w14:paraId="10772CDB" w14:textId="77777777" w:rsidR="001259EB" w:rsidRDefault="001259EB" w:rsidP="00D47DA3">
      <w:pPr>
        <w:spacing w:after="0" w:line="240" w:lineRule="auto"/>
      </w:pPr>
      <w:r>
        <w:continuationSeparator/>
      </w:r>
    </w:p>
  </w:footnote>
  <w:footnote w:id="1">
    <w:p w14:paraId="3A79F697" w14:textId="77777777" w:rsidR="00642FBE" w:rsidRPr="00642FBE" w:rsidRDefault="00642FBE">
      <w:pPr>
        <w:pStyle w:val="Textonotapie"/>
        <w:rPr>
          <w:rFonts w:ascii="Cambria" w:hAnsi="Cambria"/>
          <w:lang w:val="en-GB"/>
        </w:rPr>
      </w:pPr>
      <w:r w:rsidRPr="00642FBE">
        <w:rPr>
          <w:rStyle w:val="Refdenotaalpie"/>
          <w:rFonts w:ascii="Cambria" w:hAnsi="Cambria"/>
          <w:sz w:val="18"/>
          <w:szCs w:val="18"/>
        </w:rPr>
        <w:footnoteRef/>
      </w:r>
      <w:r w:rsidRPr="00642FBE">
        <w:rPr>
          <w:rFonts w:ascii="Cambria" w:hAnsi="Cambria"/>
          <w:sz w:val="18"/>
          <w:szCs w:val="18"/>
          <w:lang w:val="en-GB"/>
        </w:rPr>
        <w:t xml:space="preserve"> </w:t>
      </w:r>
      <w:r w:rsidRPr="00642FBE">
        <w:rPr>
          <w:rFonts w:ascii="Cambria" w:eastAsia="Times New Roman" w:hAnsi="Cambria" w:cs="Arial"/>
          <w:sz w:val="18"/>
          <w:szCs w:val="18"/>
          <w:lang w:val="en-GB" w:eastAsia="es-PE"/>
        </w:rPr>
        <w:t>(</w:t>
      </w:r>
      <w:hyperlink r:id="rId1" w:history="1">
        <w:r w:rsidRPr="00642FBE">
          <w:rPr>
            <w:rStyle w:val="Hipervnculo"/>
            <w:rFonts w:ascii="Cambria" w:hAnsi="Cambria"/>
            <w:sz w:val="18"/>
            <w:szCs w:val="18"/>
            <w:lang w:val="en-GB"/>
          </w:rPr>
          <w:t>https://www.icao.int/environmental-protection/CarbonOffset/Pages/default.aspx</w:t>
        </w:r>
      </w:hyperlink>
      <w:r w:rsidRPr="00642FBE">
        <w:rPr>
          <w:rFonts w:ascii="Cambria" w:hAnsi="Cambria"/>
          <w:sz w:val="18"/>
          <w:szCs w:val="18"/>
          <w:lang w:val="en-GB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20881"/>
    <w:multiLevelType w:val="hybridMultilevel"/>
    <w:tmpl w:val="27041A1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A522B"/>
    <w:multiLevelType w:val="hybridMultilevel"/>
    <w:tmpl w:val="3664127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26A"/>
    <w:rsid w:val="0002361D"/>
    <w:rsid w:val="0003234C"/>
    <w:rsid w:val="000D259E"/>
    <w:rsid w:val="000D26FB"/>
    <w:rsid w:val="001259EB"/>
    <w:rsid w:val="00146654"/>
    <w:rsid w:val="0017610A"/>
    <w:rsid w:val="0025679E"/>
    <w:rsid w:val="00296162"/>
    <w:rsid w:val="002A293A"/>
    <w:rsid w:val="003819DA"/>
    <w:rsid w:val="003C5C28"/>
    <w:rsid w:val="0043327D"/>
    <w:rsid w:val="004A66F8"/>
    <w:rsid w:val="005704BB"/>
    <w:rsid w:val="00606D46"/>
    <w:rsid w:val="00642FBE"/>
    <w:rsid w:val="00754669"/>
    <w:rsid w:val="00765B39"/>
    <w:rsid w:val="008E07AC"/>
    <w:rsid w:val="008F0750"/>
    <w:rsid w:val="0094708C"/>
    <w:rsid w:val="00A65412"/>
    <w:rsid w:val="00BC72D3"/>
    <w:rsid w:val="00C36CB7"/>
    <w:rsid w:val="00C57375"/>
    <w:rsid w:val="00C72A9D"/>
    <w:rsid w:val="00CA726A"/>
    <w:rsid w:val="00CD5E7D"/>
    <w:rsid w:val="00D45A8D"/>
    <w:rsid w:val="00D47DA3"/>
    <w:rsid w:val="00EB4761"/>
    <w:rsid w:val="00F3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60394"/>
  <w15:chartTrackingRefBased/>
  <w15:docId w15:val="{D65C0DF0-E994-4D8E-AA53-7631405C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D47DA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47DA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47DA3"/>
    <w:rPr>
      <w:vertAlign w:val="superscript"/>
    </w:rPr>
  </w:style>
  <w:style w:type="table" w:styleId="Tablaconcuadrcula">
    <w:name w:val="Table Grid"/>
    <w:basedOn w:val="Tablanormal"/>
    <w:uiPriority w:val="39"/>
    <w:rsid w:val="0029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737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7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2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o.int/environmental-protection/CarbonOffset/Pages/default.asp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18A3C-C0FF-4C8E-8ECC-0FEBCE03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Jessica</cp:lastModifiedBy>
  <cp:revision>3</cp:revision>
  <dcterms:created xsi:type="dcterms:W3CDTF">2020-01-18T16:42:00Z</dcterms:created>
  <dcterms:modified xsi:type="dcterms:W3CDTF">2020-01-18T16:45:00Z</dcterms:modified>
</cp:coreProperties>
</file>